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751"/>
      </w:tblGrid>
      <w:tr>
        <w:tc>
          <w:tcPr>
            <w:tcW w:type="dxa" w:w="10482"/>
            <w:shd w:fill="0B1F3A"/>
            <w:tcBorders>
              <w:top w:sz="0" w:val="single" w:color="0B1F3A"/>
              <w:left w:sz="0" w:val="single" w:color="0B1F3A"/>
              <w:bottom w:sz="0" w:val="single" w:color="0B1F3A"/>
              <w:right w:sz="0" w:val="single" w:color="0B1F3A"/>
            </w:tcBorders>
            <w:tcMar>
              <w:top w:w="850" w:type="dxa"/>
              <w:start w:w="600" w:type="dxa"/>
              <w:bottom w:w="850" w:type="dxa"/>
              <w:end w:w="600" w:type="dxa"/>
            </w:tcMar>
          </w:tcPr>
          <w:p>
            <w:pPr>
              <w:jc w:val="left"/>
            </w:pPr>
            <w:r>
              <w:drawing>
                <wp:inline xmlns:a="http://schemas.openxmlformats.org/drawingml/2006/main" xmlns:pic="http://schemas.openxmlformats.org/drawingml/2006/picture">
                  <wp:extent cx="2412000" cy="714808"/>
                  <wp:docPr id="1" name="Picture 1"/>
                  <wp:cNvGraphicFramePr>
                    <a:graphicFrameLocks noChangeAspect="1"/>
                  </wp:cNvGraphicFramePr>
                  <a:graphic>
                    <a:graphicData uri="http://schemas.openxmlformats.org/drawingml/2006/picture">
                      <pic:pic>
                        <pic:nvPicPr>
                          <pic:cNvPr id="0" name="AllingtonAdvisors_Logo_NoBackground.png"/>
                          <pic:cNvPicPr/>
                        </pic:nvPicPr>
                        <pic:blipFill>
                          <a:blip r:embed="rId11"/>
                          <a:stretch>
                            <a:fillRect/>
                          </a:stretch>
                        </pic:blipFill>
                        <pic:spPr>
                          <a:xfrm>
                            <a:off x="0" y="0"/>
                            <a:ext cx="2412000" cy="714808"/>
                          </a:xfrm>
                          <a:prstGeom prst="rect"/>
                        </pic:spPr>
                      </pic:pic>
                    </a:graphicData>
                  </a:graphic>
                </wp:inline>
              </w:drawing>
            </w:r>
          </w:p>
          <w:p>
            <w:pPr>
              <w:spacing w:before="680" w:after="120" w:line="259" w:lineRule="auto"/>
            </w:pPr>
            <w:r>
              <w:rPr>
                <w:rFonts w:ascii="Aptos" w:hAnsi="Aptos" w:eastAsia="Aptos"/>
                <w:b/>
                <w:i w:val="0"/>
                <w:color w:val="C6A96B"/>
                <w:sz w:val="16"/>
              </w:rPr>
              <w:t>TEMPLATE  |  TRANSFORMATION</w:t>
            </w:r>
          </w:p>
          <w:p>
            <w:pPr>
              <w:spacing w:before="0" w:after="180" w:line="259" w:lineRule="auto"/>
            </w:pPr>
            <w:r>
              <w:rPr>
                <w:rFonts w:ascii="Georgia" w:hAnsi="Georgia" w:eastAsia="Georgia"/>
                <w:b/>
                <w:i w:val="0"/>
                <w:color w:val="FFFFFF"/>
                <w:sz w:val="64"/>
              </w:rPr>
              <w:t>Transformation Programme</w:t>
              <w:br/>
              <w:t>Charter</w:t>
            </w:r>
          </w:p>
          <w:p>
            <w:pPr>
              <w:spacing w:before="0" w:after="360" w:line="278" w:lineRule="auto"/>
            </w:pPr>
            <w:r>
              <w:rPr>
                <w:rFonts w:ascii="Aptos" w:hAnsi="Aptos" w:eastAsia="Aptos"/>
                <w:b w:val="0"/>
                <w:i w:val="0"/>
                <w:color w:val="E9EEF6"/>
                <w:sz w:val="24"/>
              </w:rPr>
              <w:t>A reusable senior-level charter template for defining scope, governance, delivery accountabilities and success metrics for complex transformation programmes.</w:t>
            </w:r>
          </w:p>
          <w:p>
            <w:pPr>
              <w:spacing w:before="600" w:after="0" w:line="259" w:lineRule="auto"/>
            </w:pPr>
            <w:r>
              <w:rPr>
                <w:rFonts w:ascii="Aptos" w:hAnsi="Aptos" w:eastAsia="Aptos"/>
                <w:b/>
                <w:i w:val="0"/>
                <w:color w:val="C6A96B"/>
                <w:sz w:val="16"/>
              </w:rPr>
              <w:t>9 MIN READ</w:t>
            </w:r>
            <w:r>
              <w:rPr>
                <w:rFonts w:ascii="Aptos" w:hAnsi="Aptos" w:eastAsia="Aptos"/>
                <w:b/>
                <w:i w:val="0"/>
                <w:color w:val="E9EEF6"/>
                <w:sz w:val="16"/>
              </w:rPr>
              <w:t xml:space="preserve">    |    BOARD AND EXECUTIVE WORKING TEMPLATE</w:t>
            </w:r>
          </w:p>
        </w:tc>
      </w:tr>
    </w:tbl>
    <w:tbl>
      <w:tblPr>
        <w:tblW w:type="auto" w:w="0"/>
        <w:jc w:val="center"/>
        <w:tblLayout w:type="fixed"/>
        <w:tblLook w:firstColumn="1" w:firstRow="1" w:lastColumn="0" w:lastRow="0" w:noHBand="0" w:noVBand="1" w:val="04A0"/>
      </w:tblPr>
      <w:tblGrid>
        <w:gridCol w:w="3175"/>
        <w:gridCol w:w="3175"/>
        <w:gridCol w:w="3175"/>
      </w:tblGrid>
      <w:tr>
        <w:tc>
          <w:tcPr>
            <w:tcW w:type="dxa" w:w="3494"/>
            <w:shd w:fill="F6F8FB"/>
            <w:tcMar>
              <w:top w:w="135" w:type="dxa"/>
              <w:start w:w="140" w:type="dxa"/>
              <w:bottom w:w="135" w:type="dxa"/>
              <w:end w:w="140" w:type="dxa"/>
            </w:tcMar>
            <w:tcBorders>
              <w:top w:sz="4" w:val="single" w:color="D9DEE8"/>
              <w:left w:sz="4" w:val="single" w:color="D9DEE8"/>
              <w:bottom w:sz="4" w:val="single" w:color="D9DEE8"/>
              <w:right w:sz="4" w:val="single" w:color="D9DEE8"/>
            </w:tcBorders>
          </w:tcPr>
          <w:p>
            <w:pPr>
              <w:spacing w:before="0" w:after="40" w:line="259" w:lineRule="auto"/>
            </w:pPr>
            <w:r>
              <w:rPr>
                <w:rFonts w:ascii="Aptos" w:hAnsi="Aptos" w:eastAsia="Aptos"/>
                <w:b/>
                <w:i w:val="0"/>
                <w:color w:val="C6A96B"/>
                <w:sz w:val="15"/>
              </w:rPr>
              <w:t>PURPOSE</w:t>
            </w:r>
          </w:p>
          <w:p>
            <w:pPr>
              <w:spacing w:before="0" w:after="0" w:line="252" w:lineRule="auto"/>
            </w:pPr>
            <w:r>
              <w:rPr>
                <w:rFonts w:ascii="Aptos" w:hAnsi="Aptos" w:eastAsia="Aptos"/>
                <w:b w:val="0"/>
                <w:i w:val="0"/>
                <w:color w:val="172033"/>
                <w:sz w:val="16"/>
              </w:rPr>
              <w:t>Align leaders around what the programme must deliver and how decisions will be made.</w:t>
            </w:r>
          </w:p>
        </w:tc>
        <w:tc>
          <w:tcPr>
            <w:tcW w:type="dxa" w:w="3494"/>
            <w:shd w:fill="F6F8FB"/>
            <w:tcMar>
              <w:top w:w="135" w:type="dxa"/>
              <w:start w:w="140" w:type="dxa"/>
              <w:bottom w:w="135" w:type="dxa"/>
              <w:end w:w="140" w:type="dxa"/>
            </w:tcMar>
            <w:tcBorders>
              <w:top w:sz="4" w:val="single" w:color="D9DEE8"/>
              <w:left w:sz="4" w:val="single" w:color="D9DEE8"/>
              <w:bottom w:sz="4" w:val="single" w:color="D9DEE8"/>
              <w:right w:sz="4" w:val="single" w:color="D9DEE8"/>
            </w:tcBorders>
          </w:tcPr>
          <w:p>
            <w:pPr>
              <w:spacing w:before="0" w:after="40" w:line="259" w:lineRule="auto"/>
            </w:pPr>
            <w:r>
              <w:rPr>
                <w:rFonts w:ascii="Aptos" w:hAnsi="Aptos" w:eastAsia="Aptos"/>
                <w:b/>
                <w:i w:val="0"/>
                <w:color w:val="C6A96B"/>
                <w:sz w:val="15"/>
              </w:rPr>
              <w:t>BEST USED WHEN</w:t>
            </w:r>
          </w:p>
          <w:p>
            <w:pPr>
              <w:spacing w:before="0" w:after="0" w:line="252" w:lineRule="auto"/>
            </w:pPr>
            <w:r>
              <w:rPr>
                <w:rFonts w:ascii="Aptos" w:hAnsi="Aptos" w:eastAsia="Aptos"/>
                <w:b w:val="0"/>
                <w:i w:val="0"/>
                <w:color w:val="172033"/>
                <w:sz w:val="16"/>
              </w:rPr>
              <w:t>Launching a transformation, resetting a stalled programme, or creating board-level clarity.</w:t>
            </w:r>
          </w:p>
        </w:tc>
        <w:tc>
          <w:tcPr>
            <w:tcW w:type="dxa" w:w="3494"/>
            <w:shd w:fill="F6F8FB"/>
            <w:tcMar>
              <w:top w:w="135" w:type="dxa"/>
              <w:start w:w="140" w:type="dxa"/>
              <w:bottom w:w="135" w:type="dxa"/>
              <w:end w:w="140" w:type="dxa"/>
            </w:tcMar>
            <w:tcBorders>
              <w:top w:sz="4" w:val="single" w:color="D9DEE8"/>
              <w:left w:sz="4" w:val="single" w:color="D9DEE8"/>
              <w:bottom w:sz="4" w:val="single" w:color="D9DEE8"/>
              <w:right w:sz="4" w:val="single" w:color="D9DEE8"/>
            </w:tcBorders>
          </w:tcPr>
          <w:p>
            <w:pPr>
              <w:spacing w:before="0" w:after="40" w:line="259" w:lineRule="auto"/>
            </w:pPr>
            <w:r>
              <w:rPr>
                <w:rFonts w:ascii="Aptos" w:hAnsi="Aptos" w:eastAsia="Aptos"/>
                <w:b/>
                <w:i w:val="0"/>
                <w:color w:val="C6A96B"/>
                <w:sz w:val="15"/>
              </w:rPr>
              <w:t>OUTPUT</w:t>
            </w:r>
          </w:p>
          <w:p>
            <w:pPr>
              <w:spacing w:before="0" w:after="0" w:line="252" w:lineRule="auto"/>
            </w:pPr>
            <w:r>
              <w:rPr>
                <w:rFonts w:ascii="Aptos" w:hAnsi="Aptos" w:eastAsia="Aptos"/>
                <w:b w:val="0"/>
                <w:i w:val="0"/>
                <w:color w:val="172033"/>
                <w:sz w:val="16"/>
              </w:rPr>
              <w:t>A concise charter that can anchor governance, reporting and delivery management.</w:t>
            </w:r>
          </w:p>
        </w:tc>
      </w:tr>
    </w:tbl>
    <w:p>
      <w:r>
        <w:br w:type="page"/>
      </w:r>
    </w:p>
    <w:p>
      <w:pPr>
        <w:spacing w:before="0" w:after="60" w:line="259" w:lineRule="auto"/>
      </w:pPr>
      <w:r>
        <w:rPr>
          <w:rFonts w:ascii="Aptos" w:hAnsi="Aptos" w:eastAsia="Aptos"/>
          <w:b/>
          <w:i w:val="0"/>
          <w:color w:val="C6A96B"/>
          <w:sz w:val="16"/>
        </w:rPr>
        <w:t>ALLINGTON ADVISORS RESOURCE</w:t>
      </w:r>
    </w:p>
    <w:p>
      <w:pPr>
        <w:spacing w:before="240" w:after="120" w:line="259" w:lineRule="auto"/>
      </w:pPr>
      <w:r>
        <w:rPr>
          <w:rFonts w:ascii="Georgia" w:hAnsi="Georgia" w:eastAsia="Georgia"/>
          <w:b/>
          <w:i w:val="0"/>
          <w:color w:val="0B1F3A"/>
          <w:sz w:val="38"/>
        </w:rPr>
        <w:t>How to Use This Charter</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This template is designed to turn transformation intent into a clear operating contract. It should be completed by the executive sponsor, programme lead and relevant functional owners before mobilisation, then reviewed at each major governance checkpoint. The aim is not to create bureaucracy. The aim is to make the programme unambiguous: what is in scope, who owns delivery, how value will be measured, which decisions have already been made, and which trade-offs require senior intervention.</w:t>
      </w:r>
    </w:p>
    <w:p>
      <w:pPr>
        <w:spacing w:before="0" w:after="120" w:line="269" w:lineRule="auto"/>
      </w:pPr>
      <w:r>
        <w:rPr>
          <w:rFonts w:ascii="Aptos" w:hAnsi="Aptos" w:eastAsia="Aptos"/>
          <w:b w:val="0"/>
          <w:i w:val="0"/>
          <w:color w:val="172033"/>
          <w:sz w:val="18"/>
        </w:rPr>
        <w:t>A strong transformation charter should be short enough to be read by a board, specific enough to guide day-to-day delivery, and robust enough to prevent the common failure modes of major change: unclear ownership, shifting scope, weak governance, poorly defined benefits, and a lack of decision discipline.</w:t>
      </w:r>
    </w:p>
    <w:tbl>
      <w:tblPr>
        <w:tblW w:type="auto" w:w="0"/>
        <w:jc w:val="center"/>
        <w:tblLayout w:type="fixed"/>
        <w:tblLook w:firstColumn="1" w:firstRow="1" w:lastColumn="0" w:lastRow="0" w:noHBand="0" w:noVBand="1" w:val="04A0"/>
      </w:tblPr>
      <w:tblGrid>
        <w:gridCol w:w="1191"/>
        <w:gridCol w:w="8050"/>
      </w:tblGrid>
      <w:tr>
        <w:tc>
          <w:tcPr>
            <w:tcW w:type="dxa" w:w="5241"/>
            <w:tcBorders>
              <w:top w:sz="4" w:val="single" w:color="D9DEE8"/>
              <w:left w:sz="4" w:val="single" w:color="D9DEE8"/>
              <w:bottom w:sz="4" w:val="single" w:color="D9DEE8"/>
              <w:right w:sz="4" w:val="single" w:color="D9DEE8"/>
            </w:tcBorders>
            <w:shd w:fill="0B1F3A"/>
            <w:tcMar>
              <w:top w:w="100" w:type="dxa"/>
              <w:start w:w="90" w:type="dxa"/>
              <w:bottom w:w="100" w:type="dxa"/>
              <w:end w:w="90" w:type="dxa"/>
            </w:tcMar>
            <w:vAlign w:val="center"/>
          </w:tcPr>
          <w:p>
            <w:pPr>
              <w:spacing w:before="0" w:after="0" w:line="259" w:lineRule="auto"/>
              <w:jc w:val="center"/>
            </w:pPr>
            <w:r>
              <w:rPr>
                <w:rFonts w:ascii="Aptos" w:hAnsi="Aptos" w:eastAsia="Aptos"/>
                <w:b/>
                <w:i w:val="0"/>
                <w:color w:val="FFFFFF"/>
                <w:sz w:val="18"/>
              </w:rPr>
              <w:t>01</w:t>
            </w:r>
          </w:p>
        </w:tc>
        <w:tc>
          <w:tcPr>
            <w:tcW w:type="dxa" w:w="5241"/>
            <w:tcBorders>
              <w:top w:sz="4" w:val="single" w:color="D9DEE8"/>
              <w:left w:sz="4" w:val="single" w:color="D9DEE8"/>
              <w:bottom w:sz="4" w:val="single" w:color="D9DEE8"/>
              <w:right w:sz="4" w:val="single" w:color="D9DEE8"/>
            </w:tcBorders>
            <w:shd w:fill="F6F8FB"/>
            <w:tcMar>
              <w:top w:w="100" w:type="dxa"/>
              <w:start w:w="90" w:type="dxa"/>
              <w:bottom w:w="100" w:type="dxa"/>
              <w:end w:w="90" w:type="dxa"/>
            </w:tcMar>
            <w:vAlign w:val="center"/>
          </w:tcPr>
          <w:p>
            <w:pPr>
              <w:spacing w:before="0" w:after="20" w:line="259" w:lineRule="auto"/>
            </w:pPr>
            <w:r>
              <w:rPr>
                <w:rFonts w:ascii="Aptos" w:hAnsi="Aptos" w:eastAsia="Aptos"/>
                <w:b/>
                <w:i w:val="0"/>
                <w:color w:val="0B1F3A"/>
                <w:sz w:val="20"/>
              </w:rPr>
              <w:t>Recommended completion sequence</w:t>
            </w:r>
          </w:p>
          <w:p>
            <w:pPr>
              <w:spacing w:before="0" w:after="0" w:line="259" w:lineRule="auto"/>
            </w:pPr>
            <w:r>
              <w:rPr>
                <w:rFonts w:ascii="Aptos" w:hAnsi="Aptos" w:eastAsia="Aptos"/>
                <w:b w:val="0"/>
                <w:i w:val="0"/>
                <w:color w:val="667085"/>
                <w:sz w:val="16"/>
              </w:rPr>
              <w:t>Work from ambition to execution. Avoid filling in governance or workstream detail before the transformation case, outcomes and boundaries are clear.</w:t>
            </w:r>
          </w:p>
        </w:tc>
      </w:tr>
    </w:tbl>
    <w:tbl>
      <w:tblPr>
        <w:tblW w:type="auto" w:w="0"/>
        <w:jc w:val="center"/>
        <w:tblLayout w:type="autofit"/>
        <w:tblLook w:firstColumn="1" w:firstRow="1" w:lastColumn="0" w:lastRow="0" w:noHBand="0" w:noVBand="1" w:val="04A0"/>
      </w:tblPr>
      <w:tblGrid>
        <w:gridCol w:w="2620"/>
        <w:gridCol w:w="2620"/>
        <w:gridCol w:w="2620"/>
        <w:gridCol w:w="2620"/>
      </w:tblGrid>
      <w:tr>
        <w:trPr>
          <w:tblHeader w:val="true"/>
        </w:trPr>
        <w:tc>
          <w:tcPr>
            <w:tcW w:type="dxa" w:w="79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Step</w:t>
            </w:r>
          </w:p>
        </w:tc>
        <w:tc>
          <w:tcPr>
            <w:tcW w:type="dxa" w:w="3458"/>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What to complete</w:t>
            </w:r>
          </w:p>
        </w:tc>
        <w:tc>
          <w:tcPr>
            <w:tcW w:type="dxa" w:w="2268"/>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Owner</w:t>
            </w:r>
          </w:p>
        </w:tc>
        <w:tc>
          <w:tcPr>
            <w:tcW w:type="dxa" w:w="289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Output</w:t>
            </w:r>
          </w:p>
        </w:tc>
      </w:tr>
      <w:tr>
        <w:tc>
          <w:tcPr>
            <w:tcW w:type="dxa" w:w="7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1</w:t>
            </w:r>
          </w:p>
        </w:tc>
        <w:tc>
          <w:tcPr>
            <w:tcW w:type="dxa" w:w="345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Programme mandate, case for change and strategic rationale</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Executive sponsor</w:t>
            </w:r>
          </w:p>
        </w:tc>
        <w:tc>
          <w:tcPr>
            <w:tcW w:type="dxa" w:w="289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 concise statement of why the transformation exists and why now</w:t>
            </w:r>
          </w:p>
        </w:tc>
      </w:tr>
      <w:tr>
        <w:tc>
          <w:tcPr>
            <w:tcW w:type="dxa" w:w="7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2</w:t>
            </w:r>
          </w:p>
        </w:tc>
        <w:tc>
          <w:tcPr>
            <w:tcW w:type="dxa" w:w="345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Scope, non-scope, assumptions and constraints</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Programme lead with sponsor</w:t>
            </w:r>
          </w:p>
        </w:tc>
        <w:tc>
          <w:tcPr>
            <w:tcW w:type="dxa" w:w="289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 set of boundaries that prevents uncontrolled expansion</w:t>
            </w:r>
          </w:p>
        </w:tc>
      </w:tr>
      <w:tr>
        <w:tc>
          <w:tcPr>
            <w:tcW w:type="dxa" w:w="7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3</w:t>
            </w:r>
          </w:p>
        </w:tc>
        <w:tc>
          <w:tcPr>
            <w:tcW w:type="dxa" w:w="345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Outcomes, success measures and value case</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CFO / COO / functional owners</w:t>
            </w:r>
          </w:p>
        </w:tc>
        <w:tc>
          <w:tcPr>
            <w:tcW w:type="dxa" w:w="289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 measurable definition of success</w:t>
            </w:r>
          </w:p>
        </w:tc>
      </w:tr>
      <w:tr>
        <w:tc>
          <w:tcPr>
            <w:tcW w:type="dxa" w:w="7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4</w:t>
            </w:r>
          </w:p>
        </w:tc>
        <w:tc>
          <w:tcPr>
            <w:tcW w:type="dxa" w:w="345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Delivery model, workstreams and milestones</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Programme director</w:t>
            </w:r>
          </w:p>
        </w:tc>
        <w:tc>
          <w:tcPr>
            <w:tcW w:type="dxa" w:w="289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An integrated plan with named owners</w:t>
            </w:r>
          </w:p>
        </w:tc>
      </w:tr>
      <w:tr>
        <w:tc>
          <w:tcPr>
            <w:tcW w:type="dxa" w:w="7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5</w:t>
            </w:r>
          </w:p>
        </w:tc>
        <w:tc>
          <w:tcPr>
            <w:tcW w:type="dxa" w:w="345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Governance, decision rights and reporting cadence</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Sponsor and steering committee</w:t>
            </w:r>
          </w:p>
        </w:tc>
        <w:tc>
          <w:tcPr>
            <w:tcW w:type="dxa" w:w="289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 management rhythm that enables fast escalation and accountability</w:t>
            </w:r>
          </w:p>
        </w:tc>
      </w:tr>
    </w:tbl>
    <w:p>
      <w:pPr>
        <w:spacing w:after="80"/>
      </w:pPr>
    </w:p>
    <w:p>
      <w:pPr>
        <w:spacing w:before="0" w:after="120" w:line="269" w:lineRule="auto"/>
      </w:pPr>
      <w:r>
        <w:rPr>
          <w:rFonts w:ascii="Aptos" w:hAnsi="Aptos" w:eastAsia="Aptos"/>
          <w:b w:val="0"/>
          <w:i w:val="0"/>
          <w:color w:val="172033"/>
          <w:sz w:val="18"/>
        </w:rPr>
        <w:t>Use the blank fields as prompts. Replace the guidance text with programme-specific content. Where decisions are not yet made, mark the item as “To be confirmed”, assign an owner and set a decision date. Do not leave important areas vague.</w:t>
      </w:r>
    </w:p>
    <w:p>
      <w:pPr>
        <w:spacing w:before="240" w:after="120" w:line="259" w:lineRule="auto"/>
      </w:pPr>
      <w:r>
        <w:rPr>
          <w:rFonts w:ascii="Georgia" w:hAnsi="Georgia" w:eastAsia="Georgia"/>
          <w:b/>
          <w:i w:val="0"/>
          <w:color w:val="0B1F3A"/>
          <w:sz w:val="38"/>
        </w:rPr>
        <w:t>Charter Snapshot</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The snapshot is the executive summary of the charter. It should allow a board member or senior stakeholder to understand the programme in less than two minutes.</w:t>
      </w:r>
    </w:p>
    <w:tbl>
      <w:tblPr>
        <w:tblW w:type="auto" w:w="0"/>
        <w:jc w:val="center"/>
        <w:tblLayout w:type="autofit"/>
        <w:tblLook w:firstColumn="1" w:firstRow="1" w:lastColumn="0" w:lastRow="0" w:noHBand="0" w:noVBand="1" w:val="04A0"/>
      </w:tblPr>
      <w:tblGrid>
        <w:gridCol w:w="5241"/>
        <w:gridCol w:w="5241"/>
      </w:tblGrid>
      <w:tr>
        <w:trPr>
          <w:tblHeader w:val="true"/>
        </w:trPr>
        <w:tc>
          <w:tcPr>
            <w:tcW w:type="dxa" w:w="255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Field</w:t>
            </w:r>
          </w:p>
        </w:tc>
        <w:tc>
          <w:tcPr>
            <w:tcW w:type="dxa" w:w="6803"/>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Charter entry</w:t>
            </w:r>
          </w:p>
        </w:tc>
      </w:tr>
      <w:tr>
        <w:tc>
          <w:tcPr>
            <w:tcW w:type="dxa" w:w="2551"/>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Programme name</w:t>
            </w:r>
          </w:p>
        </w:tc>
        <w:tc>
          <w:tcPr>
            <w:tcW w:type="dxa" w:w="6803"/>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[Insert programme name]</w:t>
            </w:r>
          </w:p>
        </w:tc>
      </w:tr>
      <w:tr>
        <w:tc>
          <w:tcPr>
            <w:tcW w:type="dxa" w:w="2551"/>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Executive sponsor</w:t>
            </w:r>
          </w:p>
        </w:tc>
        <w:tc>
          <w:tcPr>
            <w:tcW w:type="dxa" w:w="6803"/>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 role, authority level]</w:t>
            </w:r>
          </w:p>
        </w:tc>
      </w:tr>
      <w:tr>
        <w:tc>
          <w:tcPr>
            <w:tcW w:type="dxa" w:w="2551"/>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Programme lead</w:t>
            </w:r>
          </w:p>
        </w:tc>
        <w:tc>
          <w:tcPr>
            <w:tcW w:type="dxa" w:w="6803"/>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 role, day-to-day accountability]</w:t>
            </w:r>
          </w:p>
        </w:tc>
      </w:tr>
      <w:tr>
        <w:tc>
          <w:tcPr>
            <w:tcW w:type="dxa" w:w="2551"/>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Strategic objective</w:t>
            </w:r>
          </w:p>
        </w:tc>
        <w:tc>
          <w:tcPr>
            <w:tcW w:type="dxa" w:w="6803"/>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[One sentence explaining the strategic outcome the programme supports]</w:t>
            </w:r>
          </w:p>
        </w:tc>
      </w:tr>
      <w:tr>
        <w:tc>
          <w:tcPr>
            <w:tcW w:type="dxa" w:w="2551"/>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Time horizon</w:t>
            </w:r>
          </w:p>
        </w:tc>
        <w:tc>
          <w:tcPr>
            <w:tcW w:type="dxa" w:w="6803"/>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[Start date, target completion date, key phase gates]</w:t>
            </w:r>
          </w:p>
        </w:tc>
      </w:tr>
      <w:tr>
        <w:tc>
          <w:tcPr>
            <w:tcW w:type="dxa" w:w="2551"/>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Estimated value</w:t>
            </w:r>
          </w:p>
        </w:tc>
        <w:tc>
          <w:tcPr>
            <w:tcW w:type="dxa" w:w="6803"/>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[Financial, operational, customer, risk or capability value]</w:t>
            </w:r>
          </w:p>
        </w:tc>
      </w:tr>
      <w:tr>
        <w:tc>
          <w:tcPr>
            <w:tcW w:type="dxa" w:w="2551"/>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Current status</w:t>
            </w:r>
          </w:p>
        </w:tc>
        <w:tc>
          <w:tcPr>
            <w:tcW w:type="dxa" w:w="6803"/>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[Mobilising / in-flight / reset / recovery / close-out]</w:t>
            </w:r>
          </w:p>
        </w:tc>
      </w:tr>
      <w:tr>
        <w:tc>
          <w:tcPr>
            <w:tcW w:type="dxa" w:w="2551"/>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Board decision required</w:t>
            </w:r>
          </w:p>
        </w:tc>
        <w:tc>
          <w:tcPr>
            <w:tcW w:type="dxa" w:w="6803"/>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[Approval, funding, priority trade-off, resource commitment or other decision]</w:t>
            </w:r>
          </w:p>
        </w:tc>
      </w:tr>
    </w:tbl>
    <w:p>
      <w:pPr>
        <w:spacing w:after="80"/>
      </w:pPr>
    </w:p>
    <w:p>
      <w:r>
        <w:br w:type="page"/>
      </w:r>
    </w:p>
    <w:p>
      <w:pPr>
        <w:spacing w:before="240" w:after="120" w:line="259" w:lineRule="auto"/>
      </w:pPr>
      <w:r>
        <w:rPr>
          <w:rFonts w:ascii="Georgia" w:hAnsi="Georgia" w:eastAsia="Georgia"/>
          <w:b/>
          <w:i w:val="0"/>
          <w:color w:val="0B1F3A"/>
          <w:sz w:val="38"/>
        </w:rPr>
        <w:t>1. Programme Mandate and Case for Change</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A transformation programme should begin with a clear mandate. This section defines the reason the programme exists, the strategic problem it is solving, and the consequences of inaction. The mandate should be specific enough to help leaders say no to work that is merely adjacent, desirable or politically attractive, but not essential.</w:t>
      </w:r>
    </w:p>
    <w:tbl>
      <w:tblPr>
        <w:tblW w:type="auto" w:w="0"/>
        <w:jc w:val="center"/>
        <w:tblLayout w:type="autofit"/>
        <w:tblLook w:firstColumn="1" w:firstRow="1" w:lastColumn="0" w:lastRow="0" w:noHBand="0" w:noVBand="1" w:val="04A0"/>
      </w:tblPr>
      <w:tblGrid>
        <w:gridCol w:w="5241"/>
        <w:gridCol w:w="5241"/>
      </w:tblGrid>
      <w:tr>
        <w:trPr>
          <w:tblHeader w:val="true"/>
        </w:trPr>
        <w:tc>
          <w:tcPr>
            <w:tcW w:type="dxa" w:w="3175"/>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Question</w:t>
            </w:r>
          </w:p>
        </w:tc>
        <w:tc>
          <w:tcPr>
            <w:tcW w:type="dxa" w:w="6180"/>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Working response</w:t>
            </w:r>
          </w:p>
        </w:tc>
      </w:tr>
      <w:tr>
        <w:tc>
          <w:tcPr>
            <w:tcW w:type="dxa" w:w="3175"/>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What problem or opportunity is the transformation addressing?</w:t>
            </w:r>
          </w:p>
        </w:tc>
        <w:tc>
          <w:tcPr>
            <w:tcW w:type="dxa" w:w="618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[Describe the strategic, operational, financial or organisational issue.]</w:t>
            </w:r>
          </w:p>
        </w:tc>
      </w:tr>
      <w:tr>
        <w:tc>
          <w:tcPr>
            <w:tcW w:type="dxa" w:w="3175"/>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Why is this a priority now?</w:t>
            </w:r>
          </w:p>
        </w:tc>
        <w:tc>
          <w:tcPr>
            <w:tcW w:type="dxa" w:w="618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[Include market pressure, performance gap, customer demand, cost base, regulation, technology shift or other trigger.]</w:t>
            </w:r>
          </w:p>
        </w:tc>
      </w:tr>
      <w:tr>
        <w:tc>
          <w:tcPr>
            <w:tcW w:type="dxa" w:w="3175"/>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What happens if no action is taken?</w:t>
            </w:r>
          </w:p>
        </w:tc>
        <w:tc>
          <w:tcPr>
            <w:tcW w:type="dxa" w:w="618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[Describe the commercial, operational and reputational consequences.]</w:t>
            </w:r>
          </w:p>
        </w:tc>
      </w:tr>
      <w:tr>
        <w:tc>
          <w:tcPr>
            <w:tcW w:type="dxa" w:w="3175"/>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What has already been decided?</w:t>
            </w:r>
          </w:p>
        </w:tc>
        <w:tc>
          <w:tcPr>
            <w:tcW w:type="dxa" w:w="618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[List decisions already approved by the board, CEO, executive committee or sponsor.]</w:t>
            </w:r>
          </w:p>
        </w:tc>
      </w:tr>
      <w:tr>
        <w:tc>
          <w:tcPr>
            <w:tcW w:type="dxa" w:w="3175"/>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What must this programme not become?</w:t>
            </w:r>
          </w:p>
        </w:tc>
        <w:tc>
          <w:tcPr>
            <w:tcW w:type="dxa" w:w="618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[State distractions, overreach, pet projects or adjacent activities to avoid.]</w:t>
            </w:r>
          </w:p>
        </w:tc>
      </w:tr>
    </w:tbl>
    <w:p>
      <w:pPr>
        <w:spacing w:after="80"/>
      </w:pPr>
    </w:p>
    <w:p>
      <w:pPr>
        <w:spacing w:before="240" w:after="120" w:line="259" w:lineRule="auto"/>
      </w:pPr>
      <w:r>
        <w:rPr>
          <w:rFonts w:ascii="Georgia" w:hAnsi="Georgia" w:eastAsia="Georgia"/>
          <w:b/>
          <w:i w:val="0"/>
          <w:color w:val="0B1F3A"/>
          <w:sz w:val="38"/>
        </w:rPr>
        <w:t>2. Scope, Boundaries and Design Principles</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Scope control is one of the strongest predictors of transformation performance. The charter should distinguish between confirmed scope, explicitly excluded areas and open questions. This creates transparency and reduces the risk that the programme absorbs every unresolved issue in the organisation.</w:t>
      </w:r>
    </w:p>
    <w:tbl>
      <w:tblPr>
        <w:tblW w:type="auto" w:w="0"/>
        <w:jc w:val="center"/>
        <w:tblLayout w:type="autofit"/>
        <w:tblLook w:firstColumn="1" w:firstRow="1" w:lastColumn="0" w:lastRow="0" w:noHBand="0" w:noVBand="1" w:val="04A0"/>
      </w:tblPr>
      <w:tblGrid>
        <w:gridCol w:w="3494"/>
        <w:gridCol w:w="3494"/>
        <w:gridCol w:w="3494"/>
      </w:tblGrid>
      <w:tr>
        <w:trPr>
          <w:tblHeader w:val="true"/>
        </w:trPr>
        <w:tc>
          <w:tcPr>
            <w:tcW w:type="dxa" w:w="1928"/>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Scope category</w:t>
            </w:r>
          </w:p>
        </w:tc>
        <w:tc>
          <w:tcPr>
            <w:tcW w:type="dxa" w:w="3969"/>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Definition</w:t>
            </w:r>
          </w:p>
        </w:tc>
        <w:tc>
          <w:tcPr>
            <w:tcW w:type="dxa" w:w="3458"/>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Examples / notes</w:t>
            </w:r>
          </w:p>
        </w:tc>
      </w:tr>
      <w:tr>
        <w:tc>
          <w:tcPr>
            <w:tcW w:type="dxa" w:w="1928"/>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In scope</w:t>
            </w:r>
          </w:p>
        </w:tc>
        <w:tc>
          <w:tcPr>
            <w:tcW w:type="dxa" w:w="3969"/>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Activities, functions, markets, systems, processes or cost lines that the programme is authorised to change.</w:t>
            </w:r>
          </w:p>
        </w:tc>
        <w:tc>
          <w:tcPr>
            <w:tcW w:type="dxa" w:w="345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[Insert confirmed scope.]</w:t>
            </w:r>
          </w:p>
        </w:tc>
      </w:tr>
      <w:tr>
        <w:tc>
          <w:tcPr>
            <w:tcW w:type="dxa" w:w="1928"/>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Out of scope</w:t>
            </w:r>
          </w:p>
        </w:tc>
        <w:tc>
          <w:tcPr>
            <w:tcW w:type="dxa" w:w="3969"/>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Areas the programme will not address, even if related to the wider issue.</w:t>
            </w:r>
          </w:p>
        </w:tc>
        <w:tc>
          <w:tcPr>
            <w:tcW w:type="dxa" w:w="345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[Insert exclusions.]</w:t>
            </w:r>
          </w:p>
        </w:tc>
      </w:tr>
      <w:tr>
        <w:tc>
          <w:tcPr>
            <w:tcW w:type="dxa" w:w="1928"/>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Interfaces</w:t>
            </w:r>
          </w:p>
        </w:tc>
        <w:tc>
          <w:tcPr>
            <w:tcW w:type="dxa" w:w="3969"/>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Adjacent teams, programmes or systems that must be coordinated with but are not owned by the programme.</w:t>
            </w:r>
          </w:p>
        </w:tc>
        <w:tc>
          <w:tcPr>
            <w:tcW w:type="dxa" w:w="345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[Insert dependencies.]</w:t>
            </w:r>
          </w:p>
        </w:tc>
      </w:tr>
      <w:tr>
        <w:tc>
          <w:tcPr>
            <w:tcW w:type="dxa" w:w="1928"/>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Assumptions</w:t>
            </w:r>
          </w:p>
        </w:tc>
        <w:tc>
          <w:tcPr>
            <w:tcW w:type="dxa" w:w="3969"/>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Planning assumptions on funding, capacity, technology, regulation, demand or leadership support.</w:t>
            </w:r>
          </w:p>
        </w:tc>
        <w:tc>
          <w:tcPr>
            <w:tcW w:type="dxa" w:w="345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[Insert assumptions.]</w:t>
            </w:r>
          </w:p>
        </w:tc>
      </w:tr>
      <w:tr>
        <w:tc>
          <w:tcPr>
            <w:tcW w:type="dxa" w:w="1928"/>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Constraints</w:t>
            </w:r>
          </w:p>
        </w:tc>
        <w:tc>
          <w:tcPr>
            <w:tcW w:type="dxa" w:w="3969"/>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Non-negotiable limitations, including budget, timing, contractual limits, customer commitments or regulatory conditions.</w:t>
            </w:r>
          </w:p>
        </w:tc>
        <w:tc>
          <w:tcPr>
            <w:tcW w:type="dxa" w:w="345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[Insert constraints.]</w:t>
            </w:r>
          </w:p>
        </w:tc>
      </w:tr>
    </w:tbl>
    <w:p>
      <w:pPr>
        <w:spacing w:after="80"/>
      </w:pPr>
    </w:p>
    <w:p>
      <w:pPr>
        <w:spacing w:before="0" w:after="120" w:line="269" w:lineRule="auto"/>
      </w:pPr>
      <w:r>
        <w:rPr>
          <w:rFonts w:ascii="Aptos" w:hAnsi="Aptos" w:eastAsia="Aptos"/>
          <w:b w:val="0"/>
          <w:i w:val="0"/>
          <w:color w:val="172033"/>
          <w:sz w:val="18"/>
        </w:rPr>
        <w:t>Design principles should act as practical decision filters. Examples might include: protect customer continuity, simplify before automating, standardise where possible, avoid bespoke exceptions, prioritise measurable value, and make ownership visible.</w:t>
      </w:r>
    </w:p>
    <w:p>
      <w:r>
        <w:br w:type="page"/>
      </w:r>
    </w:p>
    <w:p>
      <w:pPr>
        <w:spacing w:before="240" w:after="120" w:line="259" w:lineRule="auto"/>
      </w:pPr>
      <w:r>
        <w:rPr>
          <w:rFonts w:ascii="Georgia" w:hAnsi="Georgia" w:eastAsia="Georgia"/>
          <w:b/>
          <w:i w:val="0"/>
          <w:color w:val="0B1F3A"/>
          <w:sz w:val="38"/>
        </w:rPr>
        <w:t>3. Target Outcomes and Success Metrics</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Success must be defined before delivery begins. The strongest charters separate activity measures from outcome measures. Activity measures show whether work is happening. Outcome measures show whether the programme has created the intended value.</w:t>
      </w:r>
    </w:p>
    <w:tbl>
      <w:tblPr>
        <w:tblW w:type="auto" w:w="0"/>
        <w:jc w:val="center"/>
        <w:tblLayout w:type="autofit"/>
        <w:tblLook w:firstColumn="1" w:firstRow="1" w:lastColumn="0" w:lastRow="0" w:noHBand="0" w:noVBand="1" w:val="04A0"/>
      </w:tblPr>
      <w:tblGrid>
        <w:gridCol w:w="1747"/>
        <w:gridCol w:w="1747"/>
        <w:gridCol w:w="1747"/>
        <w:gridCol w:w="1747"/>
        <w:gridCol w:w="1747"/>
        <w:gridCol w:w="1747"/>
      </w:tblGrid>
      <w:tr>
        <w:trPr>
          <w:tblHeader w:val="true"/>
        </w:trPr>
        <w:tc>
          <w:tcPr>
            <w:tcW w:type="dxa" w:w="170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Outcome area</w:t>
            </w:r>
          </w:p>
        </w:tc>
        <w:tc>
          <w:tcPr>
            <w:tcW w:type="dxa" w:w="249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Target outcome</w:t>
            </w:r>
          </w:p>
        </w:tc>
        <w:tc>
          <w:tcPr>
            <w:tcW w:type="dxa" w:w="153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Primary metric</w:t>
            </w:r>
          </w:p>
        </w:tc>
        <w:tc>
          <w:tcPr>
            <w:tcW w:type="dxa" w:w="113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Baseline</w:t>
            </w:r>
          </w:p>
        </w:tc>
        <w:tc>
          <w:tcPr>
            <w:tcW w:type="dxa" w:w="113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Target</w:t>
            </w:r>
          </w:p>
        </w:tc>
        <w:tc>
          <w:tcPr>
            <w:tcW w:type="dxa" w:w="119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Owner</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Financial</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[Revenue uplift, margin improvement, cost reduction, working capital improvement]</w:t>
            </w:r>
          </w:p>
        </w:tc>
        <w:tc>
          <w:tcPr>
            <w:tcW w:type="dxa" w:w="153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[Metric]</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[Current]</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[Target]</w:t>
            </w:r>
          </w:p>
        </w:tc>
        <w:tc>
          <w:tcPr>
            <w:tcW w:type="dxa" w:w="119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Operational</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[Cycle time reduction, throughput, quality, productivity, resilience]</w:t>
            </w:r>
          </w:p>
        </w:tc>
        <w:tc>
          <w:tcPr>
            <w:tcW w:type="dxa" w:w="153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[Metric]</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[Current]</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[Target]</w:t>
            </w:r>
          </w:p>
        </w:tc>
        <w:tc>
          <w:tcPr>
            <w:tcW w:type="dxa" w:w="119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Customer</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[Experience, retention, service quality, speed, proposition strength]</w:t>
            </w:r>
          </w:p>
        </w:tc>
        <w:tc>
          <w:tcPr>
            <w:tcW w:type="dxa" w:w="153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[Metric]</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[Current]</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[Target]</w:t>
            </w:r>
          </w:p>
        </w:tc>
        <w:tc>
          <w:tcPr>
            <w:tcW w:type="dxa" w:w="119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People</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[Capability, capacity, engagement, adoption, leadership effectiveness]</w:t>
            </w:r>
          </w:p>
        </w:tc>
        <w:tc>
          <w:tcPr>
            <w:tcW w:type="dxa" w:w="153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[Metric]</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[Current]</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[Target]</w:t>
            </w:r>
          </w:p>
        </w:tc>
        <w:tc>
          <w:tcPr>
            <w:tcW w:type="dxa" w:w="119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Risk / control</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[Regulatory, cyber, data, process, conduct or operational risk improvement]</w:t>
            </w:r>
          </w:p>
        </w:tc>
        <w:tc>
          <w:tcPr>
            <w:tcW w:type="dxa" w:w="153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[Metric]</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[Current]</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[Target]</w:t>
            </w:r>
          </w:p>
        </w:tc>
        <w:tc>
          <w:tcPr>
            <w:tcW w:type="dxa" w:w="119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bl>
    <w:p>
      <w:pPr>
        <w:spacing w:after="80"/>
      </w:pPr>
    </w:p>
    <w:p>
      <w:pPr>
        <w:spacing w:before="240" w:after="120" w:line="259" w:lineRule="auto"/>
      </w:pPr>
      <w:r>
        <w:rPr>
          <w:rFonts w:ascii="Georgia" w:hAnsi="Georgia" w:eastAsia="Georgia"/>
          <w:b/>
          <w:i w:val="0"/>
          <w:color w:val="0B1F3A"/>
          <w:sz w:val="38"/>
        </w:rPr>
        <w:t>4. Benefits Case and Value Tracking</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The benefits case should be grounded, auditable and actively managed. Every value lever should have a named owner, a calculation method, an evidence source and a delivery date. Where benefits are non-financial, state how they will be evidenced and why they matter.</w:t>
      </w:r>
    </w:p>
    <w:tbl>
      <w:tblPr>
        <w:tblW w:type="auto" w:w="0"/>
        <w:jc w:val="center"/>
        <w:tblLayout w:type="autofit"/>
        <w:tblLook w:firstColumn="1" w:firstRow="1" w:lastColumn="0" w:lastRow="0" w:noHBand="0" w:noVBand="1" w:val="04A0"/>
      </w:tblPr>
      <w:tblGrid>
        <w:gridCol w:w="1747"/>
        <w:gridCol w:w="1747"/>
        <w:gridCol w:w="1747"/>
        <w:gridCol w:w="1747"/>
        <w:gridCol w:w="1747"/>
        <w:gridCol w:w="1747"/>
      </w:tblGrid>
      <w:tr>
        <w:trPr>
          <w:tblHeader w:val="true"/>
        </w:trPr>
        <w:tc>
          <w:tcPr>
            <w:tcW w:type="dxa" w:w="198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Value lever</w:t>
            </w:r>
          </w:p>
        </w:tc>
        <w:tc>
          <w:tcPr>
            <w:tcW w:type="dxa" w:w="170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Benefit type</w:t>
            </w:r>
          </w:p>
        </w:tc>
        <w:tc>
          <w:tcPr>
            <w:tcW w:type="dxa" w:w="2268"/>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Calculation method</w:t>
            </w:r>
          </w:p>
        </w:tc>
        <w:tc>
          <w:tcPr>
            <w:tcW w:type="dxa" w:w="170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Evidence source</w:t>
            </w:r>
          </w:p>
        </w:tc>
        <w:tc>
          <w:tcPr>
            <w:tcW w:type="dxa" w:w="1247"/>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Realisation date</w:t>
            </w:r>
          </w:p>
        </w:tc>
        <w:tc>
          <w:tcPr>
            <w:tcW w:type="dxa" w:w="1417"/>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Benefit owner</w:t>
            </w:r>
          </w:p>
        </w:tc>
      </w:tr>
      <w:tr>
        <w:tc>
          <w:tcPr>
            <w:tcW w:type="dxa" w:w="198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[Lever 1]</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[Cash / P&amp;L / risk / customer / capability]</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[Formula or method]</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[Finance, MI, CRM, ERP, survey, audit]</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[Date]</w:t>
            </w:r>
          </w:p>
        </w:tc>
        <w:tc>
          <w:tcPr>
            <w:tcW w:type="dxa" w:w="141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r>
        <w:tc>
          <w:tcPr>
            <w:tcW w:type="dxa" w:w="198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[Lever 2]</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[Cash / P&amp;L / risk / customer / capability]</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[Formula or method]</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[Evidence source]</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[Date]</w:t>
            </w:r>
          </w:p>
        </w:tc>
        <w:tc>
          <w:tcPr>
            <w:tcW w:type="dxa" w:w="141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r>
        <w:tc>
          <w:tcPr>
            <w:tcW w:type="dxa" w:w="198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[Lever 3]</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[Cash / P&amp;L / risk / customer / capability]</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[Formula or method]</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[Evidence source]</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[Date]</w:t>
            </w:r>
          </w:p>
        </w:tc>
        <w:tc>
          <w:tcPr>
            <w:tcW w:type="dxa" w:w="141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bl>
    <w:p>
      <w:pPr>
        <w:spacing w:after="80"/>
      </w:pPr>
    </w:p>
    <w:p>
      <w:pPr>
        <w:spacing w:before="240" w:after="120" w:line="259" w:lineRule="auto"/>
      </w:pPr>
      <w:r>
        <w:rPr>
          <w:rFonts w:ascii="Georgia" w:hAnsi="Georgia" w:eastAsia="Georgia"/>
          <w:b/>
          <w:i w:val="0"/>
          <w:color w:val="0B1F3A"/>
          <w:sz w:val="38"/>
        </w:rPr>
        <w:t>5. Delivery Architecture</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The delivery architecture translates the mandate into workstreams, milestones and management routines. It should be simple enough to govern and detailed enough to identify bottlenecks early.</w:t>
      </w:r>
    </w:p>
    <w:tbl>
      <w:tblPr>
        <w:tblW w:type="auto" w:w="0"/>
        <w:jc w:val="center"/>
        <w:tblLayout w:type="autofit"/>
        <w:tblLook w:firstColumn="1" w:firstRow="1" w:lastColumn="0" w:lastRow="0" w:noHBand="0" w:noVBand="1" w:val="04A0"/>
      </w:tblPr>
      <w:tblGrid>
        <w:gridCol w:w="2096"/>
        <w:gridCol w:w="2096"/>
        <w:gridCol w:w="2096"/>
        <w:gridCol w:w="2096"/>
        <w:gridCol w:w="2096"/>
      </w:tblGrid>
      <w:tr>
        <w:trPr>
          <w:tblHeader w:val="true"/>
        </w:trPr>
        <w:tc>
          <w:tcPr>
            <w:tcW w:type="dxa" w:w="170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Workstream</w:t>
            </w:r>
          </w:p>
        </w:tc>
        <w:tc>
          <w:tcPr>
            <w:tcW w:type="dxa" w:w="2268"/>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Purpose</w:t>
            </w:r>
          </w:p>
        </w:tc>
        <w:tc>
          <w:tcPr>
            <w:tcW w:type="dxa" w:w="1417"/>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Lead</w:t>
            </w:r>
          </w:p>
        </w:tc>
        <w:tc>
          <w:tcPr>
            <w:tcW w:type="dxa" w:w="2268"/>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Key deliverables</w:t>
            </w:r>
          </w:p>
        </w:tc>
        <w:tc>
          <w:tcPr>
            <w:tcW w:type="dxa" w:w="170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Critical milestones</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[Workstream 1]</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[Why this workstream exists]</w:t>
            </w:r>
          </w:p>
        </w:tc>
        <w:tc>
          <w:tcPr>
            <w:tcW w:type="dxa" w:w="141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[Deliverables]</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[Milestones]</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[Workstream 2]</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[Why this workstream exists]</w:t>
            </w:r>
          </w:p>
        </w:tc>
        <w:tc>
          <w:tcPr>
            <w:tcW w:type="dxa" w:w="141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[Deliverables]</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[Milestones]</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[Workstream 3]</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[Why this workstream exists]</w:t>
            </w:r>
          </w:p>
        </w:tc>
        <w:tc>
          <w:tcPr>
            <w:tcW w:type="dxa" w:w="141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[Deliverables]</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[Milestones]</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[Workstream 4]</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[Why this workstream exists]</w:t>
            </w:r>
          </w:p>
        </w:tc>
        <w:tc>
          <w:tcPr>
            <w:tcW w:type="dxa" w:w="141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[Deliverables]</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[Milestones]</w:t>
            </w:r>
          </w:p>
        </w:tc>
      </w:tr>
    </w:tbl>
    <w:p>
      <w:pPr>
        <w:spacing w:after="80"/>
      </w:pPr>
    </w:p>
    <w:p>
      <w:r>
        <w:br w:type="page"/>
      </w:r>
    </w:p>
    <w:p>
      <w:pPr>
        <w:spacing w:before="240" w:after="120" w:line="259" w:lineRule="auto"/>
      </w:pPr>
      <w:r>
        <w:rPr>
          <w:rFonts w:ascii="Georgia" w:hAnsi="Georgia" w:eastAsia="Georgia"/>
          <w:b/>
          <w:i w:val="0"/>
          <w:color w:val="0B1F3A"/>
          <w:sz w:val="38"/>
        </w:rPr>
        <w:t>6. Governance and Decision Rights</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Governance should accelerate decisions, not simply create meetings. The charter should specify the decision forums, their authority, escalation paths and information requirements. Each forum should have a clear purpose and should not duplicate another forum.</w:t>
      </w:r>
    </w:p>
    <w:tbl>
      <w:tblPr>
        <w:tblW w:type="auto" w:w="0"/>
        <w:jc w:val="center"/>
        <w:tblLayout w:type="autofit"/>
        <w:tblLook w:firstColumn="1" w:firstRow="1" w:lastColumn="0" w:lastRow="0" w:noHBand="0" w:noVBand="1" w:val="04A0"/>
      </w:tblPr>
      <w:tblGrid>
        <w:gridCol w:w="1747"/>
        <w:gridCol w:w="1747"/>
        <w:gridCol w:w="1747"/>
        <w:gridCol w:w="1747"/>
        <w:gridCol w:w="1747"/>
        <w:gridCol w:w="1747"/>
      </w:tblGrid>
      <w:tr>
        <w:trPr>
          <w:tblHeader w:val="true"/>
        </w:trPr>
        <w:tc>
          <w:tcPr>
            <w:tcW w:type="dxa" w:w="181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Forum</w:t>
            </w:r>
          </w:p>
        </w:tc>
        <w:tc>
          <w:tcPr>
            <w:tcW w:type="dxa" w:w="249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Purpose</w:t>
            </w:r>
          </w:p>
        </w:tc>
        <w:tc>
          <w:tcPr>
            <w:tcW w:type="dxa" w:w="130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Chair</w:t>
            </w:r>
          </w:p>
        </w:tc>
        <w:tc>
          <w:tcPr>
            <w:tcW w:type="dxa" w:w="130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Frequency</w:t>
            </w:r>
          </w:p>
        </w:tc>
        <w:tc>
          <w:tcPr>
            <w:tcW w:type="dxa" w:w="181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Decision rights</w:t>
            </w:r>
          </w:p>
        </w:tc>
        <w:tc>
          <w:tcPr>
            <w:tcW w:type="dxa" w:w="215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Required inputs</w:t>
            </w:r>
          </w:p>
        </w:tc>
      </w:tr>
      <w:tr>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Board / Executive Committee</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Approve mandate, funding, material trade-offs and major scope changes.</w:t>
            </w:r>
          </w:p>
        </w:tc>
        <w:tc>
          <w:tcPr>
            <w:tcW w:type="dxa" w:w="130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130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[Monthly / quarterly]</w:t>
            </w:r>
          </w:p>
        </w:tc>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Strategic approvals and material decisions</w:t>
            </w:r>
          </w:p>
        </w:tc>
        <w:tc>
          <w:tcPr>
            <w:tcW w:type="dxa" w:w="215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Dashboard, risks, benefits, decision paper</w:t>
            </w:r>
          </w:p>
        </w:tc>
      </w:tr>
      <w:tr>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Steering Committee</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Manage progress, unblock cross-functional issues and approve phase gates.</w:t>
            </w:r>
          </w:p>
        </w:tc>
        <w:tc>
          <w:tcPr>
            <w:tcW w:type="dxa" w:w="130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130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[Fortnightly / monthly]</w:t>
            </w:r>
          </w:p>
        </w:tc>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Programme-level decisions within delegated authority</w:t>
            </w:r>
          </w:p>
        </w:tc>
        <w:tc>
          <w:tcPr>
            <w:tcW w:type="dxa" w:w="215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Programme report, integrated plan, issue log</w:t>
            </w:r>
          </w:p>
        </w:tc>
      </w:tr>
      <w:tr>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Programme Leadership Team</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Manage day-to-day delivery, dependencies and resource allocation.</w:t>
            </w:r>
          </w:p>
        </w:tc>
        <w:tc>
          <w:tcPr>
            <w:tcW w:type="dxa" w:w="130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130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[Weekly]</w:t>
            </w:r>
          </w:p>
        </w:tc>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Operational decisions and escalations</w:t>
            </w:r>
          </w:p>
        </w:tc>
        <w:tc>
          <w:tcPr>
            <w:tcW w:type="dxa" w:w="215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Workstream reports, RAID log, milestone tracker</w:t>
            </w:r>
          </w:p>
        </w:tc>
      </w:tr>
      <w:tr>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Workstream Stand-ups</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Coordinate immediate actions and delivery blockers.</w:t>
            </w:r>
          </w:p>
        </w:tc>
        <w:tc>
          <w:tcPr>
            <w:tcW w:type="dxa" w:w="130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[Lead]</w:t>
            </w:r>
          </w:p>
        </w:tc>
        <w:tc>
          <w:tcPr>
            <w:tcW w:type="dxa" w:w="130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[Weekly / twice weekly]</w:t>
            </w:r>
          </w:p>
        </w:tc>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Task-level actions and issue resolution</w:t>
            </w:r>
          </w:p>
        </w:tc>
        <w:tc>
          <w:tcPr>
            <w:tcW w:type="dxa" w:w="215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Action log, sprint plan, open blockers</w:t>
            </w:r>
          </w:p>
        </w:tc>
      </w:tr>
    </w:tbl>
    <w:p>
      <w:pPr>
        <w:spacing w:after="80"/>
      </w:pPr>
    </w:p>
    <w:p>
      <w:pPr>
        <w:spacing w:before="200" w:after="80" w:line="259" w:lineRule="auto"/>
      </w:pPr>
      <w:r>
        <w:rPr>
          <w:rFonts w:ascii="Aptos" w:hAnsi="Aptos" w:eastAsia="Aptos"/>
          <w:b/>
          <w:i w:val="0"/>
          <w:color w:val="0B1F3A"/>
          <w:sz w:val="26"/>
        </w:rPr>
        <w:t>Decision Register</w:t>
      </w:r>
    </w:p>
    <w:tbl>
      <w:tblPr>
        <w:tblW w:type="auto" w:w="0"/>
        <w:jc w:val="center"/>
        <w:tblLayout w:type="autofit"/>
        <w:tblLook w:firstColumn="1" w:firstRow="1" w:lastColumn="0" w:lastRow="0" w:noHBand="0" w:noVBand="1" w:val="04A0"/>
      </w:tblPr>
      <w:tblGrid>
        <w:gridCol w:w="1497"/>
        <w:gridCol w:w="1497"/>
        <w:gridCol w:w="1497"/>
        <w:gridCol w:w="1497"/>
        <w:gridCol w:w="1497"/>
        <w:gridCol w:w="1497"/>
        <w:gridCol w:w="1497"/>
      </w:tblGrid>
      <w:tr>
        <w:trPr>
          <w:tblHeader w:val="true"/>
        </w:trPr>
        <w:tc>
          <w:tcPr>
            <w:tcW w:type="dxa" w:w="170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Decision required</w:t>
            </w:r>
          </w:p>
        </w:tc>
        <w:tc>
          <w:tcPr>
            <w:tcW w:type="dxa" w:w="181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Why it matters</w:t>
            </w:r>
          </w:p>
        </w:tc>
        <w:tc>
          <w:tcPr>
            <w:tcW w:type="dxa" w:w="1247"/>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Decision owner</w:t>
            </w:r>
          </w:p>
        </w:tc>
        <w:tc>
          <w:tcPr>
            <w:tcW w:type="dxa" w:w="1417"/>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Options</w:t>
            </w:r>
          </w:p>
        </w:tc>
        <w:tc>
          <w:tcPr>
            <w:tcW w:type="dxa" w:w="170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Recommendation</w:t>
            </w:r>
          </w:p>
        </w:tc>
        <w:tc>
          <w:tcPr>
            <w:tcW w:type="dxa" w:w="1020"/>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Due date</w:t>
            </w:r>
          </w:p>
        </w:tc>
        <w:tc>
          <w:tcPr>
            <w:tcW w:type="dxa" w:w="96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Status</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[Decision 1]</w:t>
            </w:r>
          </w:p>
        </w:tc>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[Impact on value, timing, risk or resource]</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141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[Options]</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[Recommended path]</w:t>
            </w:r>
          </w:p>
        </w:tc>
        <w:tc>
          <w:tcPr>
            <w:tcW w:type="dxa" w:w="102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[Date]</w:t>
            </w:r>
          </w:p>
        </w:tc>
        <w:tc>
          <w:tcPr>
            <w:tcW w:type="dxa" w:w="96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[Open]</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[Decision 2]</w:t>
            </w:r>
          </w:p>
        </w:tc>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[Impact on value, timing, risk or resource]</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141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[Options]</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[Recommended path]</w:t>
            </w:r>
          </w:p>
        </w:tc>
        <w:tc>
          <w:tcPr>
            <w:tcW w:type="dxa" w:w="102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[Date]</w:t>
            </w:r>
          </w:p>
        </w:tc>
        <w:tc>
          <w:tcPr>
            <w:tcW w:type="dxa" w:w="96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[Open]</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[Decision 3]</w:t>
            </w:r>
          </w:p>
        </w:tc>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[Impact on value, timing, risk or resource]</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141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[Options]</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[Recommended path]</w:t>
            </w:r>
          </w:p>
        </w:tc>
        <w:tc>
          <w:tcPr>
            <w:tcW w:type="dxa" w:w="102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[Date]</w:t>
            </w:r>
          </w:p>
        </w:tc>
        <w:tc>
          <w:tcPr>
            <w:tcW w:type="dxa" w:w="96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[Open]</w:t>
            </w:r>
          </w:p>
        </w:tc>
      </w:tr>
    </w:tbl>
    <w:p>
      <w:pPr>
        <w:spacing w:after="80"/>
      </w:pPr>
    </w:p>
    <w:p>
      <w:pPr>
        <w:spacing w:before="240" w:after="120" w:line="259" w:lineRule="auto"/>
      </w:pPr>
      <w:r>
        <w:rPr>
          <w:rFonts w:ascii="Georgia" w:hAnsi="Georgia" w:eastAsia="Georgia"/>
          <w:b/>
          <w:i w:val="0"/>
          <w:color w:val="0B1F3A"/>
          <w:sz w:val="38"/>
        </w:rPr>
        <w:t>7. Stakeholder Alignment and Communications</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Transformations fail when affected stakeholders are informed late, engaged superficially or asked to adopt changes they did not help shape. This section identifies the stakeholder groups that matter most and defines how they will be involved.</w:t>
      </w:r>
    </w:p>
    <w:tbl>
      <w:tblPr>
        <w:tblW w:type="auto" w:w="0"/>
        <w:jc w:val="center"/>
        <w:tblLayout w:type="autofit"/>
        <w:tblLook w:firstColumn="1" w:firstRow="1" w:lastColumn="0" w:lastRow="0" w:noHBand="0" w:noVBand="1" w:val="04A0"/>
      </w:tblPr>
      <w:tblGrid>
        <w:gridCol w:w="2096"/>
        <w:gridCol w:w="2096"/>
        <w:gridCol w:w="2096"/>
        <w:gridCol w:w="2096"/>
        <w:gridCol w:w="2096"/>
      </w:tblGrid>
      <w:tr>
        <w:trPr>
          <w:tblHeader w:val="true"/>
        </w:trPr>
        <w:tc>
          <w:tcPr>
            <w:tcW w:type="dxa" w:w="170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Stakeholder group</w:t>
            </w:r>
          </w:p>
        </w:tc>
        <w:tc>
          <w:tcPr>
            <w:tcW w:type="dxa" w:w="136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Impact level</w:t>
            </w:r>
          </w:p>
        </w:tc>
        <w:tc>
          <w:tcPr>
            <w:tcW w:type="dxa" w:w="2268"/>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Likely concerns</w:t>
            </w:r>
          </w:p>
        </w:tc>
        <w:tc>
          <w:tcPr>
            <w:tcW w:type="dxa" w:w="255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Engagement approach</w:t>
            </w:r>
          </w:p>
        </w:tc>
        <w:tc>
          <w:tcPr>
            <w:tcW w:type="dxa" w:w="147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Message owner</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Board / investors</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High</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Value delivery, risk, funding, confidence in execution</w:t>
            </w:r>
          </w:p>
        </w:tc>
        <w:tc>
          <w:tcPr>
            <w:tcW w:type="dxa" w:w="255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Formal reporting and decision papers</w:t>
            </w:r>
          </w:p>
        </w:tc>
        <w:tc>
          <w:tcPr>
            <w:tcW w:type="dxa" w:w="147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Executive team</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High</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Priorities, resources, interdependencies, accountability</w:t>
            </w:r>
          </w:p>
        </w:tc>
        <w:tc>
          <w:tcPr>
            <w:tcW w:type="dxa" w:w="255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Steering committee and weekly leadership rhythm</w:t>
            </w:r>
          </w:p>
        </w:tc>
        <w:tc>
          <w:tcPr>
            <w:tcW w:type="dxa" w:w="147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Managers</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Medium / high</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Operating model changes, team capacity, performance expectations</w:t>
            </w:r>
          </w:p>
        </w:tc>
        <w:tc>
          <w:tcPr>
            <w:tcW w:type="dxa" w:w="255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Briefings, toolkits and feedback loops</w:t>
            </w:r>
          </w:p>
        </w:tc>
        <w:tc>
          <w:tcPr>
            <w:tcW w:type="dxa" w:w="147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Frontline teams</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Medium / high</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Workload, process changes, roles, support</w:t>
            </w:r>
          </w:p>
        </w:tc>
        <w:tc>
          <w:tcPr>
            <w:tcW w:type="dxa" w:w="255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Town halls, manager cascades, training and adoption support</w:t>
            </w:r>
          </w:p>
        </w:tc>
        <w:tc>
          <w:tcPr>
            <w:tcW w:type="dxa" w:w="147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r>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Customers / partners</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As applicable</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Service continuity, contract implications, quality, timing</w:t>
            </w:r>
          </w:p>
        </w:tc>
        <w:tc>
          <w:tcPr>
            <w:tcW w:type="dxa" w:w="255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Targeted communications and relationship-led updates</w:t>
            </w:r>
          </w:p>
        </w:tc>
        <w:tc>
          <w:tcPr>
            <w:tcW w:type="dxa" w:w="147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r>
    </w:tbl>
    <w:p>
      <w:pPr>
        <w:spacing w:after="80"/>
      </w:pPr>
    </w:p>
    <w:p>
      <w:pPr>
        <w:spacing w:before="240" w:after="120" w:line="259" w:lineRule="auto"/>
      </w:pPr>
      <w:r>
        <w:rPr>
          <w:rFonts w:ascii="Georgia" w:hAnsi="Georgia" w:eastAsia="Georgia"/>
          <w:b/>
          <w:i w:val="0"/>
          <w:color w:val="0B1F3A"/>
          <w:sz w:val="38"/>
        </w:rPr>
        <w:t>8. Risks, Issues, Assumptions and Dependencies</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The RAID view should be actively maintained and linked to governance. A risk that is not owned is not being managed. A dependency that is not visible will usually become a delay.</w:t>
      </w:r>
    </w:p>
    <w:tbl>
      <w:tblPr>
        <w:tblW w:type="auto" w:w="0"/>
        <w:jc w:val="center"/>
        <w:tblLayout w:type="autofit"/>
        <w:tblLook w:firstColumn="1" w:firstRow="1" w:lastColumn="0" w:lastRow="0" w:noHBand="0" w:noVBand="1" w:val="04A0"/>
      </w:tblPr>
      <w:tblGrid>
        <w:gridCol w:w="1747"/>
        <w:gridCol w:w="1747"/>
        <w:gridCol w:w="1747"/>
        <w:gridCol w:w="1747"/>
        <w:gridCol w:w="1747"/>
        <w:gridCol w:w="1747"/>
      </w:tblGrid>
      <w:tr>
        <w:trPr>
          <w:tblHeader w:val="true"/>
        </w:trPr>
        <w:tc>
          <w:tcPr>
            <w:tcW w:type="dxa" w:w="113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Type</w:t>
            </w:r>
          </w:p>
        </w:tc>
        <w:tc>
          <w:tcPr>
            <w:tcW w:type="dxa" w:w="2438"/>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Description</w:t>
            </w:r>
          </w:p>
        </w:tc>
        <w:tc>
          <w:tcPr>
            <w:tcW w:type="dxa" w:w="1247"/>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Impact</w:t>
            </w:r>
          </w:p>
        </w:tc>
        <w:tc>
          <w:tcPr>
            <w:tcW w:type="dxa" w:w="113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Owner</w:t>
            </w:r>
          </w:p>
        </w:tc>
        <w:tc>
          <w:tcPr>
            <w:tcW w:type="dxa" w:w="2268"/>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Mitigation / next action</w:t>
            </w:r>
          </w:p>
        </w:tc>
        <w:tc>
          <w:tcPr>
            <w:tcW w:type="dxa" w:w="198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Escalation trigger</w:t>
            </w:r>
          </w:p>
        </w:tc>
      </w:tr>
      <w:tr>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Risk</w:t>
            </w:r>
          </w:p>
        </w:tc>
        <w:tc>
          <w:tcPr>
            <w:tcW w:type="dxa" w:w="243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[Future event that could affect delivery or value]</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[High / medium / low]</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[Mitigation]</w:t>
            </w:r>
          </w:p>
        </w:tc>
        <w:tc>
          <w:tcPr>
            <w:tcW w:type="dxa" w:w="198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[Trigger]</w:t>
            </w:r>
          </w:p>
        </w:tc>
      </w:tr>
      <w:tr>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Issue</w:t>
            </w:r>
          </w:p>
        </w:tc>
        <w:tc>
          <w:tcPr>
            <w:tcW w:type="dxa" w:w="243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[Current problem affecting delivery or value]</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[High / medium / low]</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[Action]</w:t>
            </w:r>
          </w:p>
        </w:tc>
        <w:tc>
          <w:tcPr>
            <w:tcW w:type="dxa" w:w="198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[Trigger]</w:t>
            </w:r>
          </w:p>
        </w:tc>
      </w:tr>
      <w:tr>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Assumption</w:t>
            </w:r>
          </w:p>
        </w:tc>
        <w:tc>
          <w:tcPr>
            <w:tcW w:type="dxa" w:w="243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[Planning assumption that must remain true]</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[High / medium / low]</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[Validation action]</w:t>
            </w:r>
          </w:p>
        </w:tc>
        <w:tc>
          <w:tcPr>
            <w:tcW w:type="dxa" w:w="198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[Trigger]</w:t>
            </w:r>
          </w:p>
        </w:tc>
      </w:tr>
      <w:tr>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Dependency</w:t>
            </w:r>
          </w:p>
        </w:tc>
        <w:tc>
          <w:tcPr>
            <w:tcW w:type="dxa" w:w="243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[External input, decision, system, supplier or team requirement]</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[High / medium / low]</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26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[Management action]</w:t>
            </w:r>
          </w:p>
        </w:tc>
        <w:tc>
          <w:tcPr>
            <w:tcW w:type="dxa" w:w="198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[Trigger]</w:t>
            </w:r>
          </w:p>
        </w:tc>
      </w:tr>
    </w:tbl>
    <w:p>
      <w:pPr>
        <w:spacing w:after="80"/>
      </w:pPr>
    </w:p>
    <w:p>
      <w:r>
        <w:br w:type="page"/>
      </w:r>
    </w:p>
    <w:p>
      <w:pPr>
        <w:spacing w:before="240" w:after="120" w:line="259" w:lineRule="auto"/>
      </w:pPr>
      <w:r>
        <w:rPr>
          <w:rFonts w:ascii="Georgia" w:hAnsi="Georgia" w:eastAsia="Georgia"/>
          <w:b/>
          <w:i w:val="0"/>
          <w:color w:val="0B1F3A"/>
          <w:sz w:val="38"/>
        </w:rPr>
        <w:t>9. Mobilisation Plan</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The first 30 days should establish control, confidence and clarity. Mobilisation is not simply project administration. It is the period in which leadership alignment, decision rights, delivery discipline and benefits tracking are put in place.</w:t>
      </w:r>
    </w:p>
    <w:tbl>
      <w:tblPr>
        <w:tblW w:type="auto" w:w="0"/>
        <w:jc w:val="center"/>
        <w:tblLayout w:type="autofit"/>
        <w:tblLook w:firstColumn="1" w:firstRow="1" w:lastColumn="0" w:lastRow="0" w:noHBand="0" w:noVBand="1" w:val="04A0"/>
      </w:tblPr>
      <w:tblGrid>
        <w:gridCol w:w="2096"/>
        <w:gridCol w:w="2096"/>
        <w:gridCol w:w="2096"/>
        <w:gridCol w:w="2096"/>
        <w:gridCol w:w="2096"/>
      </w:tblGrid>
      <w:tr>
        <w:trPr>
          <w:tblHeader w:val="true"/>
        </w:trPr>
        <w:tc>
          <w:tcPr>
            <w:tcW w:type="dxa" w:w="2948"/>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Mobilisation activity</w:t>
            </w:r>
          </w:p>
        </w:tc>
        <w:tc>
          <w:tcPr>
            <w:tcW w:type="dxa" w:w="136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Target completion</w:t>
            </w:r>
          </w:p>
        </w:tc>
        <w:tc>
          <w:tcPr>
            <w:tcW w:type="dxa" w:w="136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Owner</w:t>
            </w:r>
          </w:p>
        </w:tc>
        <w:tc>
          <w:tcPr>
            <w:tcW w:type="dxa" w:w="249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Output</w:t>
            </w:r>
          </w:p>
        </w:tc>
        <w:tc>
          <w:tcPr>
            <w:tcW w:type="dxa" w:w="1020"/>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Status</w:t>
            </w:r>
          </w:p>
        </w:tc>
      </w:tr>
      <w:tr>
        <w:tc>
          <w:tcPr>
            <w:tcW w:type="dxa" w:w="294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Confirm sponsor, programme lead and workstream leads</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Week 1</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Named accountable owners</w:t>
            </w:r>
          </w:p>
        </w:tc>
        <w:tc>
          <w:tcPr>
            <w:tcW w:type="dxa" w:w="102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[Status]</w:t>
            </w:r>
          </w:p>
        </w:tc>
      </w:tr>
      <w:tr>
        <w:tc>
          <w:tcPr>
            <w:tcW w:type="dxa" w:w="294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Approve charter and scope boundaries</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Week 1-2</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Signed-off charter</w:t>
            </w:r>
          </w:p>
        </w:tc>
        <w:tc>
          <w:tcPr>
            <w:tcW w:type="dxa" w:w="102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[Status]</w:t>
            </w:r>
          </w:p>
        </w:tc>
      </w:tr>
      <w:tr>
        <w:tc>
          <w:tcPr>
            <w:tcW w:type="dxa" w:w="294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Establish governance forums and reporting pack</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Week 2</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Meeting cadence and report template</w:t>
            </w:r>
          </w:p>
        </w:tc>
        <w:tc>
          <w:tcPr>
            <w:tcW w:type="dxa" w:w="102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[Status]</w:t>
            </w:r>
          </w:p>
        </w:tc>
      </w:tr>
      <w:tr>
        <w:tc>
          <w:tcPr>
            <w:tcW w:type="dxa" w:w="294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Validate baseline metrics and benefits method</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Week 2-3</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Benefits baseline and tracking model</w:t>
            </w:r>
          </w:p>
        </w:tc>
        <w:tc>
          <w:tcPr>
            <w:tcW w:type="dxa" w:w="102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[Status]</w:t>
            </w:r>
          </w:p>
        </w:tc>
      </w:tr>
      <w:tr>
        <w:tc>
          <w:tcPr>
            <w:tcW w:type="dxa" w:w="294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Build integrated plan and dependency map</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Week 3</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Milestone plan and dependency register</w:t>
            </w:r>
          </w:p>
        </w:tc>
        <w:tc>
          <w:tcPr>
            <w:tcW w:type="dxa" w:w="102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[Status]</w:t>
            </w:r>
          </w:p>
        </w:tc>
      </w:tr>
      <w:tr>
        <w:tc>
          <w:tcPr>
            <w:tcW w:type="dxa" w:w="294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Run stakeholder alignment briefings</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Week 3-4</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Comms pack and engagement plan</w:t>
            </w:r>
          </w:p>
        </w:tc>
        <w:tc>
          <w:tcPr>
            <w:tcW w:type="dxa" w:w="102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[Status]</w:t>
            </w:r>
          </w:p>
        </w:tc>
      </w:tr>
      <w:tr>
        <w:tc>
          <w:tcPr>
            <w:tcW w:type="dxa" w:w="2948"/>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Agree phase-gate criteria</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Week 4</w:t>
            </w:r>
          </w:p>
        </w:tc>
        <w:tc>
          <w:tcPr>
            <w:tcW w:type="dxa" w:w="136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Gate criteria and approval process</w:t>
            </w:r>
          </w:p>
        </w:tc>
        <w:tc>
          <w:tcPr>
            <w:tcW w:type="dxa" w:w="1020"/>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[Status]</w:t>
            </w:r>
          </w:p>
        </w:tc>
      </w:tr>
    </w:tbl>
    <w:p>
      <w:pPr>
        <w:spacing w:after="80"/>
      </w:pPr>
    </w:p>
    <w:p>
      <w:pPr>
        <w:spacing w:before="240" w:after="120" w:line="259" w:lineRule="auto"/>
      </w:pPr>
      <w:r>
        <w:rPr>
          <w:rFonts w:ascii="Georgia" w:hAnsi="Georgia" w:eastAsia="Georgia"/>
          <w:b/>
          <w:i w:val="0"/>
          <w:color w:val="0B1F3A"/>
          <w:sz w:val="38"/>
        </w:rPr>
        <w:t>10. Reporting Dashboard</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Reporting should focus attention on the few indicators that matter most: value, pace, risk, decisions and adoption. Avoid reporting activity in a way that creates false confidence.</w:t>
      </w:r>
    </w:p>
    <w:tbl>
      <w:tblPr>
        <w:tblW w:type="auto" w:w="0"/>
        <w:jc w:val="center"/>
        <w:tblLayout w:type="autofit"/>
        <w:tblLook w:firstColumn="1" w:firstRow="1" w:lastColumn="0" w:lastRow="0" w:noHBand="0" w:noVBand="1" w:val="04A0"/>
      </w:tblPr>
      <w:tblGrid>
        <w:gridCol w:w="2096"/>
        <w:gridCol w:w="2096"/>
        <w:gridCol w:w="2096"/>
        <w:gridCol w:w="2096"/>
        <w:gridCol w:w="2096"/>
      </w:tblGrid>
      <w:tr>
        <w:trPr>
          <w:tblHeader w:val="true"/>
        </w:trPr>
        <w:tc>
          <w:tcPr>
            <w:tcW w:type="dxa" w:w="238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Indicator</w:t>
            </w:r>
          </w:p>
        </w:tc>
        <w:tc>
          <w:tcPr>
            <w:tcW w:type="dxa" w:w="1247"/>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RAG status</w:t>
            </w:r>
          </w:p>
        </w:tc>
        <w:tc>
          <w:tcPr>
            <w:tcW w:type="dxa" w:w="249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Current position</w:t>
            </w:r>
          </w:p>
        </w:tc>
        <w:tc>
          <w:tcPr>
            <w:tcW w:type="dxa" w:w="170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Trend</w:t>
            </w:r>
          </w:p>
        </w:tc>
        <w:tc>
          <w:tcPr>
            <w:tcW w:type="dxa" w:w="198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Required decision / action</w:t>
            </w:r>
          </w:p>
        </w:tc>
      </w:tr>
      <w:tr>
        <w:tc>
          <w:tcPr>
            <w:tcW w:type="dxa" w:w="238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Overall delivery confidence</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[R/A/G]</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[Summary]</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[Improving / stable / declining]</w:t>
            </w:r>
          </w:p>
        </w:tc>
        <w:tc>
          <w:tcPr>
            <w:tcW w:type="dxa" w:w="198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[Action]</w:t>
            </w:r>
          </w:p>
        </w:tc>
      </w:tr>
      <w:tr>
        <w:tc>
          <w:tcPr>
            <w:tcW w:type="dxa" w:w="238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Benefits realisation</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[R/A/G]</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[Summary]</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[Trend]</w:t>
            </w:r>
          </w:p>
        </w:tc>
        <w:tc>
          <w:tcPr>
            <w:tcW w:type="dxa" w:w="198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[Action]</w:t>
            </w:r>
          </w:p>
        </w:tc>
      </w:tr>
      <w:tr>
        <w:tc>
          <w:tcPr>
            <w:tcW w:type="dxa" w:w="238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Milestone delivery</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[R/A/G]</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[Summary]</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[Trend]</w:t>
            </w:r>
          </w:p>
        </w:tc>
        <w:tc>
          <w:tcPr>
            <w:tcW w:type="dxa" w:w="198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[Action]</w:t>
            </w:r>
          </w:p>
        </w:tc>
      </w:tr>
      <w:tr>
        <w:tc>
          <w:tcPr>
            <w:tcW w:type="dxa" w:w="238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Key risks and issues</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[R/A/G]</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[Summary]</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[Trend]</w:t>
            </w:r>
          </w:p>
        </w:tc>
        <w:tc>
          <w:tcPr>
            <w:tcW w:type="dxa" w:w="198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[Action]</w:t>
            </w:r>
          </w:p>
        </w:tc>
      </w:tr>
      <w:tr>
        <w:tc>
          <w:tcPr>
            <w:tcW w:type="dxa" w:w="238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Stakeholder adoption</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[R/A/G]</w:t>
            </w:r>
          </w:p>
        </w:tc>
        <w:tc>
          <w:tcPr>
            <w:tcW w:type="dxa" w:w="249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[Summary]</w:t>
            </w:r>
          </w:p>
        </w:tc>
        <w:tc>
          <w:tcPr>
            <w:tcW w:type="dxa" w:w="170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[Trend]</w:t>
            </w:r>
          </w:p>
        </w:tc>
        <w:tc>
          <w:tcPr>
            <w:tcW w:type="dxa" w:w="198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[Action]</w:t>
            </w:r>
          </w:p>
        </w:tc>
      </w:tr>
    </w:tbl>
    <w:p>
      <w:pPr>
        <w:spacing w:after="80"/>
      </w:pPr>
    </w:p>
    <w:p>
      <w:pPr>
        <w:spacing w:before="240" w:after="120" w:line="259" w:lineRule="auto"/>
      </w:pPr>
      <w:r>
        <w:rPr>
          <w:rFonts w:ascii="Georgia" w:hAnsi="Georgia" w:eastAsia="Georgia"/>
          <w:b/>
          <w:i w:val="0"/>
          <w:color w:val="0B1F3A"/>
          <w:sz w:val="38"/>
        </w:rPr>
        <w:t>11. Charter Approval</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Formal approval confirms that the programme has a clear mandate, agreed scope, defined outcomes, named owners and appropriate governance. Sign-off should not imply that all delivery detail is complete. It should confirm that the programme is sufficiently clear to mobilise responsibly.</w:t>
      </w:r>
    </w:p>
    <w:tbl>
      <w:tblPr>
        <w:tblW w:type="auto" w:w="0"/>
        <w:jc w:val="center"/>
        <w:tblLayout w:type="autofit"/>
        <w:tblLook w:firstColumn="1" w:firstRow="1" w:lastColumn="0" w:lastRow="0" w:noHBand="0" w:noVBand="1" w:val="04A0"/>
      </w:tblPr>
      <w:tblGrid>
        <w:gridCol w:w="2620"/>
        <w:gridCol w:w="2620"/>
        <w:gridCol w:w="2620"/>
        <w:gridCol w:w="2620"/>
      </w:tblGrid>
      <w:tr>
        <w:trPr>
          <w:tblHeader w:val="true"/>
        </w:trPr>
        <w:tc>
          <w:tcPr>
            <w:tcW w:type="dxa" w:w="2381"/>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Role</w:t>
            </w:r>
          </w:p>
        </w:tc>
        <w:tc>
          <w:tcPr>
            <w:tcW w:type="dxa" w:w="181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Name</w:t>
            </w:r>
          </w:p>
        </w:tc>
        <w:tc>
          <w:tcPr>
            <w:tcW w:type="dxa" w:w="3685"/>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Approval / comments</w:t>
            </w:r>
          </w:p>
        </w:tc>
        <w:tc>
          <w:tcPr>
            <w:tcW w:type="dxa" w:w="1247"/>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Date</w:t>
            </w:r>
          </w:p>
        </w:tc>
      </w:tr>
      <w:tr>
        <w:tc>
          <w:tcPr>
            <w:tcW w:type="dxa" w:w="238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Executive sponsor</w:t>
            </w:r>
          </w:p>
        </w:tc>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3685"/>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[Approved / conditions / comments]</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[Date]</w:t>
            </w:r>
          </w:p>
        </w:tc>
      </w:tr>
      <w:tr>
        <w:tc>
          <w:tcPr>
            <w:tcW w:type="dxa" w:w="238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Programme lead</w:t>
            </w:r>
          </w:p>
        </w:tc>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3685"/>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[Approved / conditions / comments]</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[Date]</w:t>
            </w:r>
          </w:p>
        </w:tc>
      </w:tr>
      <w:tr>
        <w:tc>
          <w:tcPr>
            <w:tcW w:type="dxa" w:w="238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Finance owner</w:t>
            </w:r>
          </w:p>
        </w:tc>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3685"/>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[Approved / conditions / comments]</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[Date]</w:t>
            </w:r>
          </w:p>
        </w:tc>
      </w:tr>
      <w:tr>
        <w:tc>
          <w:tcPr>
            <w:tcW w:type="dxa" w:w="238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Functional owner</w:t>
            </w:r>
          </w:p>
        </w:tc>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3685"/>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[Approved / conditions / comments]</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[Date]</w:t>
            </w:r>
          </w:p>
        </w:tc>
      </w:tr>
      <w:tr>
        <w:tc>
          <w:tcPr>
            <w:tcW w:type="dxa" w:w="2381"/>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Board / Executive Committee representative</w:t>
            </w:r>
          </w:p>
        </w:tc>
        <w:tc>
          <w:tcPr>
            <w:tcW w:type="dxa" w:w="181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[Name]</w:t>
            </w:r>
          </w:p>
        </w:tc>
        <w:tc>
          <w:tcPr>
            <w:tcW w:type="dxa" w:w="3685"/>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[Approved / conditions / comments]</w:t>
            </w:r>
          </w:p>
        </w:tc>
        <w:tc>
          <w:tcPr>
            <w:tcW w:type="dxa" w:w="1247"/>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[Date]</w:t>
            </w:r>
          </w:p>
        </w:tc>
      </w:tr>
    </w:tbl>
    <w:p>
      <w:pPr>
        <w:spacing w:after="80"/>
      </w:pPr>
    </w:p>
    <w:p>
      <w:pPr>
        <w:spacing w:before="240" w:after="120" w:line="259" w:lineRule="auto"/>
      </w:pPr>
      <w:r>
        <w:rPr>
          <w:rFonts w:ascii="Georgia" w:hAnsi="Georgia" w:eastAsia="Georgia"/>
          <w:b/>
          <w:i w:val="0"/>
          <w:color w:val="0B1F3A"/>
          <w:sz w:val="38"/>
        </w:rPr>
        <w:t>Executive Quality Checklist</w:t>
      </w:r>
    </w:p>
    <w:tbl>
      <w:tblPr>
        <w:tblW w:type="auto" w:w="0"/>
        <w:jc w:val="left"/>
        <w:tblLayout w:type="fixed"/>
        <w:tblLook w:firstColumn="1" w:firstRow="1" w:lastColumn="0" w:lastRow="0" w:noHBand="0" w:noVBand="1" w:val="04A0"/>
      </w:tblPr>
      <w:tblGrid>
        <w:gridCol w:w="794"/>
        <w:gridCol w:w="7370"/>
      </w:tblGrid>
      <w:tr>
        <w:trPr>
          <w:trHeight w:val="60"/>
        </w:trPr>
        <w:tc>
          <w:tcPr>
            <w:tcW w:type="dxa" w:w="5241"/>
            <w:shd w:fill="C6A96B"/>
            <w:tcBorders>
              <w:top w:val="nil"/>
              <w:left w:val="nil"/>
              <w:bottom w:val="nil"/>
              <w:right w:val="nil"/>
            </w:tcBorders>
          </w:tcPr>
          <w:p>
            <w:pPr>
              <w:spacing w:after="0"/>
            </w:pPr>
            <w:r/>
          </w:p>
        </w:tc>
        <w:tc>
          <w:tcPr>
            <w:tcW w:type="dxa" w:w="5241"/>
            <w:shd w:fill="FFFFFF"/>
            <w:tcBorders>
              <w:top w:val="nil"/>
              <w:left w:val="nil"/>
              <w:bottom w:val="nil"/>
              <w:right w:val="nil"/>
            </w:tcBorders>
          </w:tcPr>
          <w:p>
            <w:r/>
          </w:p>
        </w:tc>
      </w:tr>
    </w:tbl>
    <w:p>
      <w:pPr>
        <w:spacing w:before="0" w:after="120" w:line="269" w:lineRule="auto"/>
      </w:pPr>
      <w:r>
        <w:rPr>
          <w:rFonts w:ascii="Aptos" w:hAnsi="Aptos" w:eastAsia="Aptos"/>
          <w:b w:val="0"/>
          <w:i w:val="0"/>
          <w:color w:val="172033"/>
          <w:sz w:val="18"/>
        </w:rPr>
        <w:t>Before the charter is circulated, use this checklist to test whether it is genuinely decision-ready.</w:t>
      </w:r>
    </w:p>
    <w:tbl>
      <w:tblPr>
        <w:tblW w:type="auto" w:w="0"/>
        <w:jc w:val="center"/>
        <w:tblLayout w:type="autofit"/>
        <w:tblLook w:firstColumn="1" w:firstRow="1" w:lastColumn="0" w:lastRow="0" w:noHBand="0" w:noVBand="1" w:val="04A0"/>
      </w:tblPr>
      <w:tblGrid>
        <w:gridCol w:w="3494"/>
        <w:gridCol w:w="3494"/>
        <w:gridCol w:w="3494"/>
      </w:tblGrid>
      <w:tr>
        <w:trPr>
          <w:tblHeader w:val="true"/>
        </w:trPr>
        <w:tc>
          <w:tcPr>
            <w:tcW w:type="dxa" w:w="2268"/>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Test</w:t>
            </w:r>
          </w:p>
        </w:tc>
        <w:tc>
          <w:tcPr>
            <w:tcW w:type="dxa" w:w="5386"/>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Pass criteria</w:t>
            </w:r>
          </w:p>
        </w:tc>
        <w:tc>
          <w:tcPr>
            <w:tcW w:type="dxa" w:w="1134"/>
            <w:shd w:fill="0B1F3A"/>
            <w:tcMar>
              <w:top w:w="85" w:type="dxa"/>
              <w:start w:w="90" w:type="dxa"/>
              <w:bottom w:w="85" w:type="dxa"/>
              <w:end w:w="90" w:type="dxa"/>
            </w:tcMar>
            <w:tcBorders>
              <w:top w:sz="4" w:val="single" w:color="D9DEE8"/>
              <w:left w:sz="4" w:val="single" w:color="D9DEE8"/>
              <w:bottom w:sz="4" w:val="single" w:color="D9DEE8"/>
              <w:right w:sz="4" w:val="single" w:color="D9DEE8"/>
            </w:tcBorders>
          </w:tcPr>
          <w:p>
            <w:pPr>
              <w:spacing w:before="0" w:after="0" w:line="259" w:lineRule="auto"/>
            </w:pPr>
            <w:r>
              <w:rPr>
                <w:rFonts w:ascii="Aptos" w:hAnsi="Aptos" w:eastAsia="Aptos"/>
                <w:b/>
                <w:i w:val="0"/>
                <w:color w:val="FFFFFF"/>
                <w:sz w:val="16"/>
              </w:rPr>
              <w:t>Status</w:t>
            </w:r>
          </w:p>
        </w:tc>
      </w:tr>
      <w:tr>
        <w:tc>
          <w:tcPr>
            <w:tcW w:type="dxa" w:w="2268"/>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Mandate clarity</w:t>
            </w:r>
          </w:p>
        </w:tc>
        <w:tc>
          <w:tcPr>
            <w:tcW w:type="dxa" w:w="5386"/>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A senior leader can explain the purpose of the programme in one sentence.</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[Yes / No]</w:t>
            </w:r>
          </w:p>
        </w:tc>
      </w:tr>
      <w:tr>
        <w:tc>
          <w:tcPr>
            <w:tcW w:type="dxa" w:w="2268"/>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Scope discipline</w:t>
            </w:r>
          </w:p>
        </w:tc>
        <w:tc>
          <w:tcPr>
            <w:tcW w:type="dxa" w:w="5386"/>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In-scope and out-of-scope areas are explicit.</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[Yes / No]</w:t>
            </w:r>
          </w:p>
        </w:tc>
      </w:tr>
      <w:tr>
        <w:tc>
          <w:tcPr>
            <w:tcW w:type="dxa" w:w="2268"/>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Benefit integrity</w:t>
            </w:r>
          </w:p>
        </w:tc>
        <w:tc>
          <w:tcPr>
            <w:tcW w:type="dxa" w:w="5386"/>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Key benefits have baselines, owners and evidence sources.</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[Yes / No]</w:t>
            </w:r>
          </w:p>
        </w:tc>
      </w:tr>
      <w:tr>
        <w:tc>
          <w:tcPr>
            <w:tcW w:type="dxa" w:w="2268"/>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Governance usefulness</w:t>
            </w:r>
          </w:p>
        </w:tc>
        <w:tc>
          <w:tcPr>
            <w:tcW w:type="dxa" w:w="5386"/>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Every forum has decision rights and a reason to exist.</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[Yes / No]</w:t>
            </w:r>
          </w:p>
        </w:tc>
      </w:tr>
      <w:tr>
        <w:tc>
          <w:tcPr>
            <w:tcW w:type="dxa" w:w="2268"/>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Accountability</w:t>
            </w:r>
          </w:p>
        </w:tc>
        <w:tc>
          <w:tcPr>
            <w:tcW w:type="dxa" w:w="5386"/>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Every workstream, metric, risk and decision has an owner.</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[Yes / No]</w:t>
            </w:r>
          </w:p>
        </w:tc>
      </w:tr>
      <w:tr>
        <w:tc>
          <w:tcPr>
            <w:tcW w:type="dxa" w:w="2268"/>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Decision readiness</w:t>
            </w:r>
          </w:p>
        </w:tc>
        <w:tc>
          <w:tcPr>
            <w:tcW w:type="dxa" w:w="5386"/>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Open decisions have owners and due dates.</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[Yes / No]</w:t>
            </w:r>
          </w:p>
        </w:tc>
      </w:tr>
      <w:tr>
        <w:tc>
          <w:tcPr>
            <w:tcW w:type="dxa" w:w="2268"/>
            <w:tcMar>
              <w:top w:w="90" w:type="dxa"/>
              <w:start w:w="90" w:type="dxa"/>
              <w:bottom w:w="90" w:type="dxa"/>
              <w:end w:w="90" w:type="dxa"/>
            </w:tcMar>
            <w:shd w:fill="F6F8FB"/>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i w:val="0"/>
                <w:color w:val="172033"/>
                <w:sz w:val="17"/>
              </w:rPr>
              <w:t>Board readability</w:t>
            </w:r>
          </w:p>
        </w:tc>
        <w:tc>
          <w:tcPr>
            <w:tcW w:type="dxa" w:w="5386"/>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The charter can be understood without additional explanation.</w:t>
            </w:r>
          </w:p>
        </w:tc>
        <w:tc>
          <w:tcPr>
            <w:tcW w:type="dxa" w:w="1134"/>
            <w:tcMar>
              <w:top w:w="90" w:type="dxa"/>
              <w:start w:w="90" w:type="dxa"/>
              <w:bottom w:w="90" w:type="dxa"/>
              <w:end w:w="90" w:type="dxa"/>
            </w:tcMar>
            <w:tcBorders>
              <w:top w:sz="4" w:val="single" w:color="D9DEE8"/>
              <w:left w:sz="4" w:val="single" w:color="D9DEE8"/>
              <w:bottom w:sz="4" w:val="single" w:color="D9DEE8"/>
              <w:right w:sz="4" w:val="single" w:color="D9DEE8"/>
            </w:tcBorders>
          </w:tcPr>
          <w:p>
            <w:pPr>
              <w:spacing w:before="0" w:after="0" w:line="252" w:lineRule="auto"/>
            </w:pPr>
            <w:r>
              <w:rPr>
                <w:rFonts w:ascii="Aptos" w:hAnsi="Aptos" w:eastAsia="Aptos"/>
                <w:b w:val="0"/>
                <w:i w:val="0"/>
                <w:color w:val="172033"/>
                <w:sz w:val="17"/>
              </w:rPr>
              <w:t>[Yes / No]</w:t>
            </w:r>
          </w:p>
        </w:tc>
      </w:tr>
    </w:tbl>
    <w:p>
      <w:pPr>
        <w:spacing w:after="80"/>
      </w:pPr>
    </w:p>
    <w:tbl>
      <w:tblPr>
        <w:tblW w:type="auto" w:w="0"/>
        <w:jc w:val="center"/>
        <w:tblLayout w:type="fixed"/>
        <w:tblLook w:firstColumn="1" w:firstRow="1" w:lastColumn="0" w:lastRow="0" w:noHBand="0" w:noVBand="1" w:val="04A0"/>
      </w:tblPr>
      <w:tblGrid>
        <w:gridCol w:w="9751"/>
      </w:tblGrid>
      <w:tr>
        <w:tc>
          <w:tcPr>
            <w:tcW w:type="dxa" w:w="10482"/>
            <w:shd w:fill="F6F8FB"/>
            <w:tcMar>
              <w:top w:w="180" w:type="dxa"/>
              <w:start w:w="600" w:type="dxa"/>
              <w:bottom w:w="180" w:type="dxa"/>
              <w:end w:w="600" w:type="dxa"/>
            </w:tcMar>
            <w:tcBorders>
              <w:top w:sz="8" w:val="single" w:color="D9DEE8"/>
              <w:left w:sz="8" w:val="single" w:color="D9DEE8"/>
              <w:bottom w:sz="8" w:val="single" w:color="D9DEE8"/>
              <w:right w:sz="8" w:val="single" w:color="D9DEE8"/>
            </w:tcBorders>
          </w:tcPr>
          <w:p>
            <w:pPr>
              <w:jc w:val="center"/>
            </w:pPr>
            <w:r>
              <w:drawing>
                <wp:inline xmlns:a="http://schemas.openxmlformats.org/drawingml/2006/main" xmlns:pic="http://schemas.openxmlformats.org/drawingml/2006/picture">
                  <wp:extent cx="503999" cy="441537"/>
                  <wp:docPr id="2" name="Picture 2"/>
                  <wp:cNvGraphicFramePr>
                    <a:graphicFrameLocks noChangeAspect="1"/>
                  </wp:cNvGraphicFramePr>
                  <a:graphic>
                    <a:graphicData uri="http://schemas.openxmlformats.org/drawingml/2006/picture">
                      <pic:pic>
                        <pic:nvPicPr>
                          <pic:cNvPr id="0" name="Allington-Advisors_Favicon_NoBackground.png"/>
                          <pic:cNvPicPr/>
                        </pic:nvPicPr>
                        <pic:blipFill>
                          <a:blip r:embed="rId12"/>
                          <a:stretch>
                            <a:fillRect/>
                          </a:stretch>
                        </pic:blipFill>
                        <pic:spPr>
                          <a:xfrm>
                            <a:off x="0" y="0"/>
                            <a:ext cx="503999" cy="441537"/>
                          </a:xfrm>
                          <a:prstGeom prst="rect"/>
                        </pic:spPr>
                      </pic:pic>
                    </a:graphicData>
                  </a:graphic>
                </wp:inline>
              </w:drawing>
            </w:r>
          </w:p>
          <w:p>
            <w:pPr>
              <w:spacing w:before="200" w:after="120" w:line="259" w:lineRule="auto"/>
              <w:jc w:val="center"/>
            </w:pPr>
            <w:r>
              <w:rPr>
                <w:rFonts w:ascii="Georgia" w:hAnsi="Georgia" w:eastAsia="Georgia"/>
                <w:b/>
                <w:i w:val="0"/>
                <w:color w:val="0B1F3A"/>
                <w:sz w:val="36"/>
              </w:rPr>
              <w:t>Allington Advisors</w:t>
            </w:r>
          </w:p>
          <w:p>
            <w:pPr>
              <w:spacing w:before="0" w:after="80" w:line="276" w:lineRule="auto"/>
              <w:jc w:val="center"/>
            </w:pPr>
            <w:r>
              <w:rPr>
                <w:rFonts w:ascii="Aptos" w:hAnsi="Aptos" w:eastAsia="Aptos"/>
                <w:b w:val="0"/>
                <w:i w:val="0"/>
                <w:color w:val="172033"/>
                <w:sz w:val="22"/>
              </w:rPr>
              <w:t>Strategic counsel for complex challenges.</w:t>
            </w:r>
          </w:p>
          <w:p>
            <w:pPr>
              <w:spacing w:before="400" w:after="80" w:line="259" w:lineRule="auto"/>
              <w:jc w:val="center"/>
            </w:pPr>
            <w:r>
              <w:rPr>
                <w:rFonts w:ascii="Aptos" w:hAnsi="Aptos" w:eastAsia="Aptos"/>
                <w:b w:val="0"/>
                <w:i w:val="0"/>
                <w:color w:val="667085"/>
                <w:sz w:val="17"/>
              </w:rPr>
              <w:t>This document is intended as a practical working template. It should be adapted to the specific context, governance model and risk profile of each organisation.</w:t>
            </w:r>
          </w:p>
          <w:p>
            <w:pPr>
              <w:spacing w:before="400" w:after="0" w:line="259" w:lineRule="auto"/>
              <w:jc w:val="center"/>
            </w:pPr>
            <w:r>
              <w:rPr>
                <w:rFonts w:ascii="Aptos" w:hAnsi="Aptos" w:eastAsia="Aptos"/>
                <w:b/>
                <w:i w:val="0"/>
                <w:color w:val="C6A96B"/>
                <w:sz w:val="17"/>
              </w:rPr>
              <w:t>allingtonadvisors.com</w:t>
            </w:r>
          </w:p>
        </w:tc>
      </w:tr>
    </w:tbl>
    <w:sectPr w:rsidR="00FC693F" w:rsidRPr="0006063C" w:rsidSect="00034616">
      <w:headerReference w:type="default" r:id="rId9"/>
      <w:footerReference w:type="default" r:id="rId10"/>
      <w:pgSz w:w="12240" w:h="15840"/>
      <w:pgMar w:top="822" w:right="879" w:bottom="765" w:left="8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b w:val="0"/>
        <w:i w:val="0"/>
        <w:color w:val="667085"/>
        <w:sz w:val="14"/>
      </w:rPr>
      <w:t>Allington Advisors  |  Transformation Programme Charter Template  |  Confidential working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drawing>
        <wp:inline xmlns:a="http://schemas.openxmlformats.org/drawingml/2006/main" xmlns:pic="http://schemas.openxmlformats.org/drawingml/2006/picture">
          <wp:extent cx="1548000" cy="458758"/>
          <wp:docPr id="1" name="Picture 1"/>
          <wp:cNvGraphicFramePr>
            <a:graphicFrameLocks noChangeAspect="1"/>
          </wp:cNvGraphicFramePr>
          <a:graphic>
            <a:graphicData uri="http://schemas.openxmlformats.org/drawingml/2006/picture">
              <pic:pic>
                <pic:nvPicPr>
                  <pic:cNvPr id="0" name="AllingtonAdvisors_Logo_NoBackground.png"/>
                  <pic:cNvPicPr/>
                </pic:nvPicPr>
                <pic:blipFill>
                  <a:blip r:embed="rId1"/>
                  <a:stretch>
                    <a:fillRect/>
                  </a:stretch>
                </pic:blipFill>
                <pic:spPr>
                  <a:xfrm>
                    <a:off x="0" y="0"/>
                    <a:ext cx="1548000" cy="45875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17203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eastAsia="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eastAsia="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Transformation Programme Charter Template</dc:title>
  <dc:subject>Reusable transformation governance and programme charter template</dc:subject>
  <dc:creator>Allington Advisors</dc:creator>
  <cp:keywords/>
  <dc:description>Created as an Allington Advisors resource template.</dc:description>
  <cp:lastModifiedBy/>
  <cp:revision>1</cp:revision>
  <dcterms:created xsi:type="dcterms:W3CDTF">2013-12-23T23:15:00Z</dcterms:created>
  <dcterms:modified xsi:type="dcterms:W3CDTF">2013-12-23T23:15:00Z</dcterms:modified>
  <cp:category/>
</cp:coreProperties>
</file>