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426"/>
      </w:tblGrid>
      <w:tr>
        <w:tc>
          <w:tcPr>
            <w:tcW w:type="dxa" w:w="10205"/>
            <w:shd w:fill="0B1F3A"/>
            <w:tcBorders>
              <w:top w:sz="0" w:val="nil" w:color="0B1F3A"/>
              <w:left w:sz="0" w:val="nil" w:color="0B1F3A"/>
              <w:bottom w:sz="0" w:val="nil" w:color="0B1F3A"/>
              <w:right w:sz="0" w:val="nil" w:color="0B1F3A"/>
            </w:tcBorders>
          </w:tcPr>
          <w:p>
            <w:pPr>
              <w:spacing w:after="960"/>
            </w:pPr>
            <w:r>
              <w:drawing>
                <wp:inline xmlns:a="http://schemas.openxmlformats.org/drawingml/2006/main" xmlns:pic="http://schemas.openxmlformats.org/drawingml/2006/picture">
                  <wp:extent cx="2240280" cy="663918"/>
                  <wp:docPr id="1" name="Picture 1"/>
                  <wp:cNvGraphicFramePr>
                    <a:graphicFrameLocks noChangeAspect="1"/>
                  </wp:cNvGraphicFramePr>
                  <a:graphic>
                    <a:graphicData uri="http://schemas.openxmlformats.org/drawingml/2006/picture">
                      <pic:pic>
                        <pic:nvPicPr>
                          <pic:cNvPr id="0" name="AllingtonAdvisors_Logo_WhiteBackground.png"/>
                          <pic:cNvPicPr/>
                        </pic:nvPicPr>
                        <pic:blipFill>
                          <a:blip r:embed="rId11"/>
                          <a:stretch>
                            <a:fillRect/>
                          </a:stretch>
                        </pic:blipFill>
                        <pic:spPr>
                          <a:xfrm>
                            <a:off x="0" y="0"/>
                            <a:ext cx="2240280" cy="663918"/>
                          </a:xfrm>
                          <a:prstGeom prst="rect"/>
                        </pic:spPr>
                      </pic:pic>
                    </a:graphicData>
                  </a:graphic>
                </wp:inline>
              </w:drawing>
            </w:r>
          </w:p>
          <w:p>
            <w:pPr>
              <w:spacing w:before="800" w:after="200"/>
            </w:pPr>
            <w:r>
              <w:rPr>
                <w:rFonts w:ascii="Aptos" w:hAnsi="Aptos"/>
                <w:b/>
                <w:color w:val="C6A96B"/>
                <w:sz w:val="16"/>
              </w:rPr>
              <w:t>TEMPLATE  |  AI &amp; TECHNOLOGY  |  12 MINUTE READ</w:t>
            </w:r>
          </w:p>
          <w:p>
            <w:pPr>
              <w:spacing w:after="280"/>
            </w:pPr>
            <w:r>
              <w:rPr>
                <w:rFonts w:ascii="Georgia" w:hAnsi="Georgia"/>
                <w:b/>
                <w:color w:val="FFFFFF"/>
                <w:sz w:val="62"/>
              </w:rPr>
              <w:t>AI Readiness</w:t>
            </w:r>
            <w:r>
              <w:br/>
            </w:r>
            <w:r>
              <w:rPr>
                <w:rFonts w:ascii="Georgia" w:hAnsi="Georgia"/>
                <w:b/>
                <w:color w:val="FFFFFF"/>
                <w:sz w:val="62"/>
              </w:rPr>
              <w:t>Diagnostic</w:t>
            </w:r>
          </w:p>
          <w:p>
            <w:pPr>
              <w:spacing w:after="1560"/>
            </w:pPr>
            <w:r>
              <w:rPr>
                <w:rFonts w:ascii="Aptos" w:hAnsi="Aptos"/>
                <w:color w:val="E9E3D6"/>
                <w:sz w:val="23"/>
              </w:rPr>
              <w:t>A practical self-assessment tool for leadership teams evaluating where AI can deliver measurable operational impact.</w:t>
            </w:r>
          </w:p>
          <w:p>
            <w:r>
              <w:rPr>
                <w:rFonts w:ascii="Aptos" w:hAnsi="Aptos"/>
                <w:b/>
                <w:color w:val="FFFFFF"/>
                <w:sz w:val="17"/>
              </w:rPr>
              <w:t>Prepared by Allington Advisors</w:t>
            </w:r>
          </w:p>
          <w:p>
            <w:r>
              <w:rPr>
                <w:rFonts w:ascii="Aptos" w:hAnsi="Aptos"/>
                <w:color w:val="C6CED8"/>
                <w:sz w:val="16"/>
              </w:rPr>
              <w:t>Strategic counsel for complex challenges</w:t>
            </w:r>
          </w:p>
          <w:p/>
          <w:p/>
          <w:p/>
        </w:tc>
      </w:tr>
    </w:tbl>
    <w:p>
      <w:r>
        <w:br w:type="page"/>
      </w:r>
    </w:p>
    <w:p>
      <w:pPr>
        <w:spacing w:before="160" w:after="80"/>
      </w:pPr>
      <w:r>
        <w:rPr>
          <w:rFonts w:ascii="Georgia" w:hAnsi="Georgia"/>
          <w:b/>
          <w:color w:val="0B1F3A"/>
          <w:sz w:val="36"/>
        </w:rPr>
        <w:t>01  How to use this diagnostic</w:t>
      </w:r>
    </w:p>
    <w:p>
      <w:pPr>
        <w:pStyle w:val="BodyText"/>
        <w:spacing w:after="160"/>
      </w:pPr>
      <w:r>
        <w:rPr>
          <w:b w:val="0"/>
        </w:rPr>
        <w:t>This template is designed for executive teams that want a disciplined view of where AI can create value, where risk needs to be controlled and what should happen next.</w:t>
      </w:r>
    </w:p>
    <w:p>
      <w:pPr>
        <w:spacing w:before="80" w:after="160"/>
        <w:pBdr>
          <w:bottom w:val="single" w:sz="6" w:space="1" w:color="C6A96B"/>
        </w:pBdr>
      </w:pPr>
    </w:p>
    <w:p>
      <w:pPr>
        <w:pStyle w:val="BodyText"/>
      </w:pPr>
      <w:r>
        <w:rPr>
          <w:b w:val="0"/>
        </w:rPr>
        <w:t>AI readiness is not a question of whether an organisation has bought the right tools. It is a question of whether the business has the right use cases, data foundations, operating model, controls and leadership discipline to convert AI capability into measurable outcomes.</w:t>
      </w:r>
    </w:p>
    <w:p>
      <w:pPr>
        <w:pStyle w:val="BodyText"/>
      </w:pPr>
      <w:r>
        <w:rPr>
          <w:b w:val="0"/>
        </w:rPr>
        <w:t>Use this diagnostic as a structured working document. It can be completed by a small executive group, used in a facilitated workshop or circulated to functional leaders before an AI strategy session.</w:t>
      </w:r>
    </w:p>
    <w:tbl>
      <w:tblPr>
        <w:tblW w:type="auto" w:w="0"/>
        <w:jc w:val="center"/>
        <w:tblLook w:firstColumn="1" w:firstRow="1" w:lastColumn="0" w:lastRow="0" w:noHBand="0" w:noVBand="1" w:val="04A0"/>
      </w:tblPr>
      <w:tblGrid>
        <w:gridCol w:w="10426"/>
      </w:tblGrid>
      <w:tr>
        <w:tc>
          <w:tcPr>
            <w:tcW w:type="dxa" w:w="10426"/>
            <w:shd w:fill="F6F3EC"/>
            <w:tcBorders>
              <w:top w:sz="8" w:val="single" w:color="C6A96B"/>
              <w:left w:sz="4" w:val="single" w:color="D8D2C4"/>
              <w:bottom w:sz="4" w:val="single" w:color="D8D2C4"/>
              <w:right w:sz="4" w:val="single" w:color="D8D2C4"/>
            </w:tcBorders>
          </w:tcPr>
          <w:p>
            <w:pPr>
              <w:spacing w:after="80"/>
            </w:pPr>
            <w:r>
              <w:rPr>
                <w:rFonts w:ascii="Aptos" w:hAnsi="Aptos"/>
                <w:b/>
                <w:color w:val="8E7847"/>
                <w:sz w:val="16"/>
              </w:rPr>
              <w:t>RECOMMENDED APPLICATION</w:t>
            </w:r>
          </w:p>
          <w:p>
            <w:pPr>
              <w:spacing w:after="0"/>
            </w:pPr>
            <w:r>
              <w:rPr>
                <w:rFonts w:ascii="Georgia" w:hAnsi="Georgia"/>
                <w:b/>
                <w:color w:val="0B1F3A"/>
                <w:sz w:val="22"/>
              </w:rPr>
              <w:t>Complete the diagnostic at leadership level first, then validate the scores with process owners, technology leaders and risk owners before committing investment.</w:t>
            </w:r>
          </w:p>
        </w:tc>
      </w:tr>
    </w:tbl>
    <w:p>
      <w:pPr>
        <w:spacing w:after="40"/>
      </w:pPr>
    </w:p>
    <w:tbl>
      <w:tblPr>
        <w:tblW w:type="auto" w:w="0"/>
        <w:jc w:val="center"/>
        <w:tblLook w:firstColumn="1" w:firstRow="1" w:lastColumn="0" w:lastRow="0" w:noHBand="0" w:noVBand="1" w:val="04A0"/>
      </w:tblPr>
      <w:tblGrid>
        <w:gridCol w:w="3475"/>
        <w:gridCol w:w="3475"/>
        <w:gridCol w:w="3475"/>
      </w:tblGrid>
      <w:tr>
        <w:trPr>
          <w:tblHeader w:val="true"/>
        </w:trPr>
        <w:tc>
          <w:tcPr>
            <w:tcW w:type="dxa" w:w="347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Step</w:t>
            </w:r>
          </w:p>
        </w:tc>
        <w:tc>
          <w:tcPr>
            <w:tcW w:type="dxa" w:w="347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Action</w:t>
            </w:r>
          </w:p>
        </w:tc>
        <w:tc>
          <w:tcPr>
            <w:tcW w:type="dxa" w:w="347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Output</w:t>
            </w:r>
          </w:p>
        </w:tc>
      </w:tr>
      <w:tr>
        <w:tc>
          <w:tcPr>
            <w:tcW w:type="dxa" w:w="3475"/>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1. Define the ambition</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Clarify why AI matters now and which strategic priorities it should support.</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 focused AI ambition statement.</w:t>
            </w:r>
          </w:p>
        </w:tc>
      </w:tr>
      <w:tr>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2. Score the business</w:t>
            </w:r>
          </w:p>
        </w:tc>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Assess readiness across the six dimensions in this document.</w:t>
            </w:r>
          </w:p>
        </w:tc>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 scored baseline and evidence log.</w:t>
            </w:r>
          </w:p>
        </w:tc>
      </w:tr>
      <w:tr>
        <w:tc>
          <w:tcPr>
            <w:tcW w:type="dxa" w:w="3475"/>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3. Identify value pools</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List candidate use cases and quantify expected impact.</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 ranked portfolio of AI opportunities.</w:t>
            </w:r>
          </w:p>
        </w:tc>
      </w:tr>
      <w:tr>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4. Test feasibility</w:t>
            </w:r>
          </w:p>
        </w:tc>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Assess data, process, technology, people and control requirements.</w:t>
            </w:r>
          </w:p>
        </w:tc>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Shortlist of feasible, high-value pilots.</w:t>
            </w:r>
          </w:p>
        </w:tc>
      </w:tr>
      <w:tr>
        <w:tc>
          <w:tcPr>
            <w:tcW w:type="dxa" w:w="3475"/>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5. Build the roadmap</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Sequence quick wins, capability building and governance actions.</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30, 60 and 90-day action plan.</w:t>
            </w:r>
          </w:p>
        </w:tc>
      </w:tr>
    </w:tbl>
    <w:p>
      <w:pPr>
        <w:spacing w:after="80"/>
      </w:pPr>
    </w:p>
    <w:p>
      <w:pPr>
        <w:spacing w:before="160" w:after="80"/>
      </w:pPr>
      <w:r>
        <w:rPr>
          <w:rFonts w:ascii="Georgia" w:hAnsi="Georgia"/>
          <w:b/>
          <w:color w:val="0B1F3A"/>
          <w:sz w:val="36"/>
        </w:rPr>
        <w:t>02  Scoring model</w:t>
      </w:r>
    </w:p>
    <w:p>
      <w:pPr>
        <w:pStyle w:val="BodyText"/>
        <w:spacing w:after="160"/>
      </w:pPr>
      <w:r>
        <w:rPr>
          <w:b w:val="0"/>
        </w:rPr>
        <w:t>Score each statement from 0 to 4. The purpose is not to produce a perfect number, but to force a clear, evidence-based discussion.</w:t>
      </w:r>
    </w:p>
    <w:p>
      <w:pPr>
        <w:spacing w:before="80" w:after="160"/>
        <w:pBdr>
          <w:bottom w:val="single" w:sz="6" w:space="1" w:color="C6A96B"/>
        </w:pBdr>
      </w:pPr>
    </w:p>
    <w:tbl>
      <w:tblPr>
        <w:tblW w:type="auto" w:w="0"/>
        <w:jc w:val="center"/>
        <w:tblLook w:firstColumn="1" w:firstRow="1" w:lastColumn="0" w:lastRow="0" w:noHBand="0" w:noVBand="1" w:val="04A0"/>
      </w:tblPr>
      <w:tblGrid>
        <w:gridCol w:w="3475"/>
        <w:gridCol w:w="3475"/>
        <w:gridCol w:w="3475"/>
      </w:tblGrid>
      <w:tr>
        <w:trPr>
          <w:tblHeader w:val="true"/>
        </w:trPr>
        <w:tc>
          <w:tcPr>
            <w:tcW w:type="dxa" w:w="347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Score</w:t>
            </w:r>
          </w:p>
        </w:tc>
        <w:tc>
          <w:tcPr>
            <w:tcW w:type="dxa" w:w="347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Meaning</w:t>
            </w:r>
          </w:p>
        </w:tc>
        <w:tc>
          <w:tcPr>
            <w:tcW w:type="dxa" w:w="347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Practical interpretation</w:t>
            </w:r>
          </w:p>
        </w:tc>
      </w:tr>
      <w:tr>
        <w:tc>
          <w:tcPr>
            <w:tcW w:type="dxa" w:w="3475"/>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0</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Absent</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No meaningful activity, ownership or evidence exists.</w:t>
            </w:r>
          </w:p>
        </w:tc>
      </w:tr>
      <w:tr>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1</w:t>
            </w:r>
          </w:p>
        </w:tc>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Ad hoc</w:t>
            </w:r>
          </w:p>
        </w:tc>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Some isolated activity exists, but it is inconsistent, informal or dependent on individuals.</w:t>
            </w:r>
          </w:p>
        </w:tc>
      </w:tr>
      <w:tr>
        <w:tc>
          <w:tcPr>
            <w:tcW w:type="dxa" w:w="3475"/>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2</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Emerging</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Foundations are forming, but capability is partial and not yet repeatable.</w:t>
            </w:r>
          </w:p>
        </w:tc>
      </w:tr>
      <w:tr>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3</w:t>
            </w:r>
          </w:p>
        </w:tc>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Established</w:t>
            </w:r>
          </w:p>
        </w:tc>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Capability is in place, owned and repeatable across relevant parts of the business.</w:t>
            </w:r>
          </w:p>
        </w:tc>
      </w:tr>
      <w:tr>
        <w:tc>
          <w:tcPr>
            <w:tcW w:type="dxa" w:w="3475"/>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4</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Leading</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Capability is mature, measured, governed and actively improving business outcomes.</w:t>
            </w:r>
          </w:p>
        </w:tc>
      </w:tr>
    </w:tbl>
    <w:p>
      <w:pPr>
        <w:spacing w:after="80"/>
      </w:pPr>
    </w:p>
    <w:tbl>
      <w:tblPr>
        <w:tblW w:type="auto" w:w="0"/>
        <w:jc w:val="center"/>
        <w:tblLook w:firstColumn="1" w:firstRow="1" w:lastColumn="0" w:lastRow="0" w:noHBand="0" w:noVBand="1" w:val="04A0"/>
      </w:tblPr>
      <w:tblGrid>
        <w:gridCol w:w="10426"/>
      </w:tblGrid>
      <w:tr>
        <w:tc>
          <w:tcPr>
            <w:tcW w:type="dxa" w:w="10426"/>
            <w:shd w:fill="F6F3EC"/>
            <w:tcBorders>
              <w:top w:sz="8" w:val="single" w:color="C6A96B"/>
              <w:left w:sz="4" w:val="single" w:color="D8D2C4"/>
              <w:bottom w:sz="4" w:val="single" w:color="D8D2C4"/>
              <w:right w:sz="4" w:val="single" w:color="D8D2C4"/>
            </w:tcBorders>
          </w:tcPr>
          <w:p>
            <w:pPr>
              <w:spacing w:after="80"/>
            </w:pPr>
            <w:r>
              <w:rPr>
                <w:rFonts w:ascii="Aptos" w:hAnsi="Aptos"/>
                <w:b/>
                <w:color w:val="8E7847"/>
                <w:sz w:val="16"/>
              </w:rPr>
              <w:t>INTERPRETING THE SCORE</w:t>
            </w:r>
          </w:p>
          <w:p>
            <w:pPr>
              <w:spacing w:after="0"/>
            </w:pPr>
            <w:r>
              <w:rPr>
                <w:rFonts w:ascii="Georgia" w:hAnsi="Georgia"/>
                <w:b/>
                <w:color w:val="0B1F3A"/>
                <w:sz w:val="22"/>
              </w:rPr>
              <w:t>A high readiness score without a clear value case is not enough. A low readiness score with a material business problem may still justify action, provided the first phase addresses the critical gaps.</w:t>
            </w:r>
          </w:p>
        </w:tc>
      </w:tr>
    </w:tbl>
    <w:p>
      <w:pPr>
        <w:spacing w:after="40"/>
      </w:pPr>
    </w:p>
    <w:p>
      <w:pPr>
        <w:spacing w:before="160" w:after="80"/>
      </w:pPr>
      <w:r>
        <w:rPr>
          <w:rFonts w:ascii="Georgia" w:hAnsi="Georgia"/>
          <w:b/>
          <w:color w:val="0B1F3A"/>
          <w:sz w:val="36"/>
        </w:rPr>
        <w:t>03  Executive readiness snapshot</w:t>
      </w:r>
    </w:p>
    <w:p>
      <w:pPr>
        <w:pStyle w:val="BodyText"/>
        <w:spacing w:after="160"/>
      </w:pPr>
      <w:r>
        <w:rPr>
          <w:b w:val="0"/>
        </w:rPr>
        <w:t>Start with a short leadership-level view before moving into the detailed diagnostic.</w:t>
      </w:r>
    </w:p>
    <w:p>
      <w:pPr>
        <w:spacing w:before="80" w:after="160"/>
        <w:pBdr>
          <w:bottom w:val="single" w:sz="6" w:space="1" w:color="C6A96B"/>
        </w:pBdr>
      </w:pPr>
    </w:p>
    <w:tbl>
      <w:tblPr>
        <w:tblW w:type="auto" w:w="0"/>
        <w:jc w:val="center"/>
        <w:tblLayout w:type="autofit"/>
        <w:tblLook w:firstColumn="1" w:firstRow="1" w:lastColumn="0" w:lastRow="0" w:noHBand="0" w:noVBand="1" w:val="04A0"/>
      </w:tblPr>
      <w:tblGrid>
        <w:gridCol w:w="2085"/>
        <w:gridCol w:w="2085"/>
        <w:gridCol w:w="2085"/>
        <w:gridCol w:w="2085"/>
        <w:gridCol w:w="2085"/>
      </w:tblGrid>
      <w:tr>
        <w:trPr>
          <w:tblHeader w:val="true"/>
        </w:trPr>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Dimension</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What good looks like</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Score 0-4</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Evidence / observations</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Priority</w:t>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Strategic clarity</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AI is linked to defined business priorities, not generic experimentation.</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Use-case quality</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Priority opportunities are specific, measurable and commercially relevant.</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Data foundations</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Required data is accessible, trusted, governed and usable.</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Technology fit</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Architecture, tools and integration routes can support deployment.</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Operating model</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Ownership, roles, workflow changes and adoption paths are clear.</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Risk and governance</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Controls exist for privacy, security, bias, explainability and accountability.</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bl>
    <w:p>
      <w:pPr>
        <w:spacing w:after="80"/>
      </w:pPr>
    </w:p>
    <w:p>
      <w:pPr>
        <w:spacing w:before="160" w:after="80"/>
      </w:pPr>
      <w:r>
        <w:rPr>
          <w:rFonts w:ascii="Georgia" w:hAnsi="Georgia"/>
          <w:b/>
          <w:color w:val="0B1F3A"/>
          <w:sz w:val="36"/>
        </w:rPr>
        <w:t>04  Detailed diagnostic dimensions</w:t>
      </w:r>
    </w:p>
    <w:p>
      <w:pPr>
        <w:pStyle w:val="BodyText"/>
        <w:spacing w:after="160"/>
      </w:pPr>
      <w:r>
        <w:rPr>
          <w:b w:val="0"/>
        </w:rPr>
        <w:t>Complete each section honestly. Where there is uncertainty, capture the evidence gap rather than inflating the score.</w:t>
      </w:r>
    </w:p>
    <w:p>
      <w:pPr>
        <w:spacing w:before="80" w:after="160"/>
        <w:pBdr>
          <w:bottom w:val="single" w:sz="6" w:space="1" w:color="C6A96B"/>
        </w:pBdr>
      </w:pPr>
    </w:p>
    <w:p>
      <w:pPr>
        <w:pStyle w:val="Heading2"/>
      </w:pPr>
      <w:r>
        <w:rPr>
          <w:b w:val="0"/>
        </w:rPr>
        <w:t>A. Strategic alignment</w:t>
      </w:r>
    </w:p>
    <w:p>
      <w:pPr>
        <w:pStyle w:val="BodyText"/>
      </w:pPr>
      <w:r>
        <w:rPr>
          <w:b w:val="0"/>
        </w:rPr>
        <w:t>The organisation is clear on why AI matters and which strategic outcomes it is expected to improve.</w:t>
      </w:r>
    </w:p>
    <w:tbl>
      <w:tblPr>
        <w:tblW w:type="auto" w:w="0"/>
        <w:jc w:val="center"/>
        <w:tblLayout w:type="autofit"/>
        <w:tblLook w:firstColumn="1" w:firstRow="1" w:lastColumn="0" w:lastRow="0" w:noHBand="0" w:noVBand="1" w:val="04A0"/>
      </w:tblPr>
      <w:tblGrid>
        <w:gridCol w:w="2085"/>
        <w:gridCol w:w="2085"/>
        <w:gridCol w:w="2085"/>
        <w:gridCol w:w="2085"/>
        <w:gridCol w:w="2085"/>
      </w:tblGrid>
      <w:tr>
        <w:trPr>
          <w:tblHeader w:val="true"/>
        </w:trPr>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Dimension</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What good looks like</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Score 0-4</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Evidence / observations</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Priority</w:t>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AI ambition</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Leadership has defined a clear AI ambition linked to growth, margin, service, speed, risk reduction or resilience.</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Business ownership</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AI opportunities are owned by business leaders, not treated solely as technology projects.</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Investment logic</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Investment decisions are supported by expected impact, cost, complexity, dependencies and payback.</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Portfolio discipline</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The organisation can distinguish strategic use cases from low-value novelty or automation theatre.</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bl>
    <w:p>
      <w:pPr>
        <w:spacing w:after="80"/>
      </w:pPr>
    </w:p>
    <w:p>
      <w:pPr>
        <w:pStyle w:val="Heading2"/>
      </w:pPr>
      <w:r>
        <w:rPr>
          <w:b w:val="0"/>
        </w:rPr>
        <w:t>B. Use-case quality and value potential</w:t>
      </w:r>
    </w:p>
    <w:p>
      <w:pPr>
        <w:pStyle w:val="BodyText"/>
      </w:pPr>
      <w:r>
        <w:rPr>
          <w:b w:val="0"/>
        </w:rPr>
        <w:t>The organisation has identified concrete use cases with measurable operational or commercial value.</w:t>
      </w:r>
    </w:p>
    <w:tbl>
      <w:tblPr>
        <w:tblW w:type="auto" w:w="0"/>
        <w:jc w:val="center"/>
        <w:tblLayout w:type="autofit"/>
        <w:tblLook w:firstColumn="1" w:firstRow="1" w:lastColumn="0" w:lastRow="0" w:noHBand="0" w:noVBand="1" w:val="04A0"/>
      </w:tblPr>
      <w:tblGrid>
        <w:gridCol w:w="2085"/>
        <w:gridCol w:w="2085"/>
        <w:gridCol w:w="2085"/>
        <w:gridCol w:w="2085"/>
        <w:gridCol w:w="2085"/>
      </w:tblGrid>
      <w:tr>
        <w:trPr>
          <w:tblHeader w:val="true"/>
        </w:trPr>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Dimension</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What good looks like</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Score 0-4</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Evidence / observations</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Priority</w:t>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Problem definition</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Use cases start from real business pain points, bottlenecks, cost drivers or growth constraints.</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Impact sizing</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Each priority use case has an estimated financial, operational or customer impact.</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Feasibility view</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Use cases are assessed against data availability, process readiness, technical complexity and risk.</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Pilot design</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Pilots are designed to prove a measurable decision, workflow or performance improvement.</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bl>
    <w:p>
      <w:pPr>
        <w:spacing w:after="80"/>
      </w:pPr>
    </w:p>
    <w:p>
      <w:pPr>
        <w:pStyle w:val="Heading2"/>
      </w:pPr>
      <w:r>
        <w:rPr>
          <w:b w:val="0"/>
        </w:rPr>
        <w:t>C. Data readiness</w:t>
      </w:r>
    </w:p>
    <w:p>
      <w:pPr>
        <w:pStyle w:val="BodyText"/>
      </w:pPr>
      <w:r>
        <w:rPr>
          <w:b w:val="0"/>
        </w:rPr>
        <w:t>The organisation has enough accessible, governed and reliable data to support the selected AI use cases.</w:t>
      </w:r>
    </w:p>
    <w:tbl>
      <w:tblPr>
        <w:tblW w:type="auto" w:w="0"/>
        <w:jc w:val="center"/>
        <w:tblLayout w:type="autofit"/>
        <w:tblLook w:firstColumn="1" w:firstRow="1" w:lastColumn="0" w:lastRow="0" w:noHBand="0" w:noVBand="1" w:val="04A0"/>
      </w:tblPr>
      <w:tblGrid>
        <w:gridCol w:w="2085"/>
        <w:gridCol w:w="2085"/>
        <w:gridCol w:w="2085"/>
        <w:gridCol w:w="2085"/>
        <w:gridCol w:w="2085"/>
      </w:tblGrid>
      <w:tr>
        <w:trPr>
          <w:tblHeader w:val="true"/>
        </w:trPr>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Dimension</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What good looks like</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Score 0-4</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Evidence / observations</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Priority</w:t>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Data availability</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The data required for priority use cases exists and can be accessed within acceptable timeframes.</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Data quality</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Key datasets are sufficiently complete, accurate and current for the intended use.</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Data governance</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Ownership, permissions, lineage and retention are understood for relevant datasets.</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Knowledge capture</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Critical process knowledge and decision logic are documented or can be captured from experts.</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bl>
    <w:p>
      <w:pPr>
        <w:spacing w:after="80"/>
      </w:pPr>
    </w:p>
    <w:p>
      <w:pPr>
        <w:pStyle w:val="Heading2"/>
      </w:pPr>
      <w:r>
        <w:rPr>
          <w:b w:val="0"/>
        </w:rPr>
        <w:t>D. Technology and integration</w:t>
      </w:r>
    </w:p>
    <w:p>
      <w:pPr>
        <w:pStyle w:val="BodyText"/>
      </w:pPr>
      <w:r>
        <w:rPr>
          <w:b w:val="0"/>
        </w:rPr>
        <w:t>The organisation can deploy AI into real workflows, not just run experiments in isolation.</w:t>
      </w:r>
    </w:p>
    <w:tbl>
      <w:tblPr>
        <w:tblW w:type="auto" w:w="0"/>
        <w:jc w:val="center"/>
        <w:tblLayout w:type="autofit"/>
        <w:tblLook w:firstColumn="1" w:firstRow="1" w:lastColumn="0" w:lastRow="0" w:noHBand="0" w:noVBand="1" w:val="04A0"/>
      </w:tblPr>
      <w:tblGrid>
        <w:gridCol w:w="2085"/>
        <w:gridCol w:w="2085"/>
        <w:gridCol w:w="2085"/>
        <w:gridCol w:w="2085"/>
        <w:gridCol w:w="2085"/>
      </w:tblGrid>
      <w:tr>
        <w:trPr>
          <w:tblHeader w:val="true"/>
        </w:trPr>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Dimension</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What good looks like</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Score 0-4</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Evidence / observations</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Priority</w:t>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Tooling strategy</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There is clarity on build, buy, partner and platform choices for priority use cases.</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Systems integration</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AI outputs can be integrated into existing systems, workflows and reporting environments.</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Security architecture</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Access, identity, data boundaries and vendor security requirements are understood.</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Scalability</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The technical route can scale from pilot to production without disproportionate rework.</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bl>
    <w:p>
      <w:pPr>
        <w:spacing w:after="80"/>
      </w:pPr>
    </w:p>
    <w:p>
      <w:pPr>
        <w:pStyle w:val="Heading2"/>
      </w:pPr>
      <w:r>
        <w:rPr>
          <w:b w:val="0"/>
        </w:rPr>
        <w:t>E. People, process and adoption</w:t>
      </w:r>
    </w:p>
    <w:p>
      <w:pPr>
        <w:pStyle w:val="BodyText"/>
      </w:pPr>
      <w:r>
        <w:rPr>
          <w:b w:val="0"/>
        </w:rPr>
        <w:t>The organisation is prepared to change how work gets done, rather than simply adding AI tools on top of existing processes.</w:t>
      </w:r>
    </w:p>
    <w:tbl>
      <w:tblPr>
        <w:tblW w:type="auto" w:w="0"/>
        <w:jc w:val="center"/>
        <w:tblLayout w:type="autofit"/>
        <w:tblLook w:firstColumn="1" w:firstRow="1" w:lastColumn="0" w:lastRow="0" w:noHBand="0" w:noVBand="1" w:val="04A0"/>
      </w:tblPr>
      <w:tblGrid>
        <w:gridCol w:w="2085"/>
        <w:gridCol w:w="2085"/>
        <w:gridCol w:w="2085"/>
        <w:gridCol w:w="2085"/>
        <w:gridCol w:w="2085"/>
      </w:tblGrid>
      <w:tr>
        <w:trPr>
          <w:tblHeader w:val="true"/>
        </w:trPr>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Dimension</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What good looks like</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Score 0-4</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Evidence / observations</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Priority</w:t>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Process ownership</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Relevant process owners are engaged and understand how AI could change decisions, handoffs or controls.</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Capability gaps</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The business understands where training, hiring, partner support or specialist expertise is required.</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Adoption plan</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There is a plan for user engagement, workflow redesign, behavioural change and communication.</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Performance management</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Success metrics are owned and embedded into regular management routines.</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bl>
    <w:p>
      <w:pPr>
        <w:spacing w:after="80"/>
      </w:pPr>
    </w:p>
    <w:p>
      <w:pPr>
        <w:pStyle w:val="Heading2"/>
      </w:pPr>
      <w:r>
        <w:rPr>
          <w:b w:val="0"/>
        </w:rPr>
        <w:t>F. Governance, risk and control</w:t>
      </w:r>
    </w:p>
    <w:p>
      <w:pPr>
        <w:pStyle w:val="BodyText"/>
      </w:pPr>
      <w:r>
        <w:rPr>
          <w:b w:val="0"/>
        </w:rPr>
        <w:t>The organisation can manage AI responsibly while still moving quickly enough to capture value.</w:t>
      </w:r>
    </w:p>
    <w:tbl>
      <w:tblPr>
        <w:tblW w:type="auto" w:w="0"/>
        <w:jc w:val="center"/>
        <w:tblLayout w:type="autofit"/>
        <w:tblLook w:firstColumn="1" w:firstRow="1" w:lastColumn="0" w:lastRow="0" w:noHBand="0" w:noVBand="1" w:val="04A0"/>
      </w:tblPr>
      <w:tblGrid>
        <w:gridCol w:w="2085"/>
        <w:gridCol w:w="2085"/>
        <w:gridCol w:w="2085"/>
        <w:gridCol w:w="2085"/>
        <w:gridCol w:w="2085"/>
      </w:tblGrid>
      <w:tr>
        <w:trPr>
          <w:tblHeader w:val="true"/>
        </w:trPr>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Dimension</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What good looks like</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Score 0-4</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Evidence / observations</w:t>
            </w:r>
          </w:p>
        </w:tc>
        <w:tc>
          <w:tcPr>
            <w:tcW w:type="dxa" w:w="208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Priority</w:t>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Use policy</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There is a clear policy for acceptable AI use, including sensitive data and external tools.</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Human accountability</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Decision rights, escalation routes and human-in-the-loop requirements are defined.</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Risk controls</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Privacy, security, bias, hallucination, explainability and regulatory risks are assessed for each use case.</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r>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Monitoring</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AI performance, incidents, drift, user feedback and realised impact can be monitored after deployment.</w:t>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2085"/>
            <w:vAlign w:val="top"/>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r>
    </w:tbl>
    <w:p>
      <w:pPr>
        <w:spacing w:after="80"/>
      </w:pPr>
    </w:p>
    <w:p>
      <w:r>
        <w:br w:type="page"/>
      </w:r>
    </w:p>
    <w:p>
      <w:pPr>
        <w:spacing w:before="160" w:after="80"/>
      </w:pPr>
      <w:r>
        <w:rPr>
          <w:rFonts w:ascii="Georgia" w:hAnsi="Georgia"/>
          <w:b/>
          <w:color w:val="0B1F3A"/>
          <w:sz w:val="36"/>
        </w:rPr>
        <w:t>05  Use-case prioritisation template</w:t>
      </w:r>
    </w:p>
    <w:p>
      <w:pPr>
        <w:pStyle w:val="BodyText"/>
        <w:spacing w:after="160"/>
      </w:pPr>
      <w:r>
        <w:rPr>
          <w:b w:val="0"/>
        </w:rPr>
        <w:t>Use this page to convert the diagnostic into an actionable opportunity portfolio.</w:t>
      </w:r>
    </w:p>
    <w:p>
      <w:pPr>
        <w:spacing w:before="80" w:after="160"/>
        <w:pBdr>
          <w:bottom w:val="single" w:sz="6" w:space="1" w:color="C6A96B"/>
        </w:pBdr>
      </w:pPr>
    </w:p>
    <w:p>
      <w:pPr>
        <w:pStyle w:val="BodyText"/>
      </w:pPr>
      <w:r>
        <w:rPr>
          <w:b w:val="0"/>
        </w:rPr>
        <w:t>The strongest AI opportunities usually sit at the intersection of material value, repeatable work, accessible data and manageable risk. Avoid selecting pilots only because they are technically interesting. Select pilots because they prove a commercially important change in how the organisation operates.</w:t>
      </w:r>
    </w:p>
    <w:tbl>
      <w:tblPr>
        <w:tblW w:type="auto" w:w="0"/>
        <w:jc w:val="center"/>
        <w:tblLook w:firstColumn="1" w:firstRow="1" w:lastColumn="0" w:lastRow="0" w:noHBand="0" w:noVBand="1" w:val="04A0"/>
      </w:tblPr>
      <w:tblGrid>
        <w:gridCol w:w="1489"/>
        <w:gridCol w:w="1489"/>
        <w:gridCol w:w="1489"/>
        <w:gridCol w:w="1489"/>
        <w:gridCol w:w="1489"/>
        <w:gridCol w:w="1489"/>
        <w:gridCol w:w="1489"/>
      </w:tblGrid>
      <w:tr>
        <w:trPr>
          <w:tblHeader w:val="true"/>
        </w:trPr>
        <w:tc>
          <w:tcPr>
            <w:tcW w:type="dxa" w:w="1489"/>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Use case</w:t>
            </w:r>
          </w:p>
        </w:tc>
        <w:tc>
          <w:tcPr>
            <w:tcW w:type="dxa" w:w="1489"/>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Business problem</w:t>
            </w:r>
          </w:p>
        </w:tc>
        <w:tc>
          <w:tcPr>
            <w:tcW w:type="dxa" w:w="1489"/>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Expected impact</w:t>
            </w:r>
          </w:p>
        </w:tc>
        <w:tc>
          <w:tcPr>
            <w:tcW w:type="dxa" w:w="1489"/>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Data readiness</w:t>
            </w:r>
          </w:p>
        </w:tc>
        <w:tc>
          <w:tcPr>
            <w:tcW w:type="dxa" w:w="1489"/>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Complexity</w:t>
            </w:r>
          </w:p>
        </w:tc>
        <w:tc>
          <w:tcPr>
            <w:tcW w:type="dxa" w:w="1489"/>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Risk level</w:t>
            </w:r>
          </w:p>
        </w:tc>
        <w:tc>
          <w:tcPr>
            <w:tcW w:type="dxa" w:w="1489"/>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Decision</w:t>
            </w:r>
          </w:p>
        </w:tc>
      </w:tr>
      <w:tr>
        <w:tc>
          <w:tcPr>
            <w:tcW w:type="dxa" w:w="1489"/>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Proceed / hold / reject</w:t>
            </w:r>
          </w:p>
        </w:tc>
      </w:tr>
      <w:tr>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Proceed / hold / reject</w:t>
            </w:r>
          </w:p>
        </w:tc>
      </w:tr>
      <w:tr>
        <w:tc>
          <w:tcPr>
            <w:tcW w:type="dxa" w:w="1489"/>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Proceed / hold / reject</w:t>
            </w:r>
          </w:p>
        </w:tc>
      </w:tr>
      <w:tr>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Proceed / hold / reject</w:t>
            </w:r>
          </w:p>
        </w:tc>
      </w:tr>
      <w:tr>
        <w:tc>
          <w:tcPr>
            <w:tcW w:type="dxa" w:w="1489"/>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Proceed / hold / reject</w:t>
            </w:r>
          </w:p>
        </w:tc>
      </w:tr>
      <w:tr>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r>
          </w:p>
        </w:tc>
        <w:tc>
          <w:tcPr>
            <w:tcW w:type="dxa" w:w="1489"/>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Proceed / hold / reject</w:t>
            </w:r>
          </w:p>
        </w:tc>
      </w:tr>
    </w:tbl>
    <w:p>
      <w:pPr>
        <w:spacing w:after="80"/>
      </w:pPr>
    </w:p>
    <w:tbl>
      <w:tblPr>
        <w:tblW w:type="auto" w:w="0"/>
        <w:jc w:val="center"/>
        <w:tblLook w:firstColumn="1" w:firstRow="1" w:lastColumn="0" w:lastRow="0" w:noHBand="0" w:noVBand="1" w:val="04A0"/>
      </w:tblPr>
      <w:tblGrid>
        <w:gridCol w:w="10426"/>
      </w:tblGrid>
      <w:tr>
        <w:tc>
          <w:tcPr>
            <w:tcW w:type="dxa" w:w="10426"/>
            <w:shd w:fill="F6F3EC"/>
            <w:tcBorders>
              <w:top w:sz="8" w:val="single" w:color="C6A96B"/>
              <w:left w:sz="4" w:val="single" w:color="D8D2C4"/>
              <w:bottom w:sz="4" w:val="single" w:color="D8D2C4"/>
              <w:right w:sz="4" w:val="single" w:color="D8D2C4"/>
            </w:tcBorders>
          </w:tcPr>
          <w:p>
            <w:pPr>
              <w:spacing w:after="80"/>
            </w:pPr>
            <w:r>
              <w:rPr>
                <w:rFonts w:ascii="Aptos" w:hAnsi="Aptos"/>
                <w:b/>
                <w:color w:val="8E7847"/>
                <w:sz w:val="16"/>
              </w:rPr>
              <w:t>PRIORITISATION RULE</w:t>
            </w:r>
          </w:p>
          <w:p>
            <w:pPr>
              <w:spacing w:after="0"/>
            </w:pPr>
            <w:r>
              <w:rPr>
                <w:rFonts w:ascii="Georgia" w:hAnsi="Georgia"/>
                <w:b/>
                <w:color w:val="0B1F3A"/>
                <w:sz w:val="22"/>
              </w:rPr>
              <w:t>Start with one or two high-value pilots that can prove measurable impact within 8 to 12 weeks. Do not start with a broad transformation programme before the organisation has evidence of what works.</w:t>
            </w:r>
          </w:p>
        </w:tc>
      </w:tr>
    </w:tbl>
    <w:p>
      <w:pPr>
        <w:spacing w:after="40"/>
      </w:pPr>
    </w:p>
    <w:p>
      <w:pPr>
        <w:spacing w:before="160" w:after="80"/>
      </w:pPr>
      <w:r>
        <w:rPr>
          <w:rFonts w:ascii="Georgia" w:hAnsi="Georgia"/>
          <w:b/>
          <w:color w:val="0B1F3A"/>
          <w:sz w:val="36"/>
        </w:rPr>
        <w:t>06  Readiness profile and recommended action</w:t>
      </w:r>
    </w:p>
    <w:p>
      <w:pPr>
        <w:pStyle w:val="BodyText"/>
        <w:spacing w:after="160"/>
      </w:pPr>
      <w:r>
        <w:rPr>
          <w:b w:val="0"/>
        </w:rPr>
        <w:t>Use the total score to understand the type of intervention required. This is a guide, not a substitute for judgement.</w:t>
      </w:r>
    </w:p>
    <w:p>
      <w:pPr>
        <w:spacing w:before="80" w:after="160"/>
        <w:pBdr>
          <w:bottom w:val="single" w:sz="6" w:space="1" w:color="C6A96B"/>
        </w:pBdr>
      </w:pPr>
    </w:p>
    <w:tbl>
      <w:tblPr>
        <w:tblW w:type="auto" w:w="0"/>
        <w:jc w:val="center"/>
        <w:tblLook w:firstColumn="1" w:firstRow="1" w:lastColumn="0" w:lastRow="0" w:noHBand="0" w:noVBand="1" w:val="04A0"/>
      </w:tblPr>
      <w:tblGrid>
        <w:gridCol w:w="2606"/>
        <w:gridCol w:w="2606"/>
        <w:gridCol w:w="2606"/>
        <w:gridCol w:w="2606"/>
      </w:tblGrid>
      <w:tr>
        <w:trPr>
          <w:tblHeader w:val="true"/>
        </w:trPr>
        <w:tc>
          <w:tcPr>
            <w:tcW w:type="dxa" w:w="2606"/>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Total score</w:t>
            </w:r>
          </w:p>
        </w:tc>
        <w:tc>
          <w:tcPr>
            <w:tcW w:type="dxa" w:w="2606"/>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Readiness profile</w:t>
            </w:r>
          </w:p>
        </w:tc>
        <w:tc>
          <w:tcPr>
            <w:tcW w:type="dxa" w:w="2606"/>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Implication</w:t>
            </w:r>
          </w:p>
        </w:tc>
        <w:tc>
          <w:tcPr>
            <w:tcW w:type="dxa" w:w="2606"/>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Recommended next step</w:t>
            </w:r>
          </w:p>
        </w:tc>
      </w:tr>
      <w:tr>
        <w:tc>
          <w:tcPr>
            <w:tcW w:type="dxa" w:w="260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0-35</w:t>
            </w:r>
          </w:p>
        </w:tc>
        <w:tc>
          <w:tcPr>
            <w:tcW w:type="dxa" w:w="260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Not yet ready</w:t>
            </w:r>
          </w:p>
        </w:tc>
        <w:tc>
          <w:tcPr>
            <w:tcW w:type="dxa" w:w="260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Significant gaps in strategy, data, ownership or controls. AI activity may create distraction or risk.</w:t>
            </w:r>
          </w:p>
        </w:tc>
        <w:tc>
          <w:tcPr>
            <w:tcW w:type="dxa" w:w="260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Run a focused readiness sprint before launching pilots.</w:t>
            </w:r>
          </w:p>
        </w:tc>
      </w:tr>
      <w:tr>
        <w:tc>
          <w:tcPr>
            <w:tcW w:type="dxa" w:w="2606"/>
            <w:shd w:fill="FAF9F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36-65</w:t>
            </w:r>
          </w:p>
        </w:tc>
        <w:tc>
          <w:tcPr>
            <w:tcW w:type="dxa" w:w="2606"/>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Emerging readiness</w:t>
            </w:r>
          </w:p>
        </w:tc>
        <w:tc>
          <w:tcPr>
            <w:tcW w:type="dxa" w:w="2606"/>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Some useful foundations exist, but priority use cases and operating model are not yet robust.</w:t>
            </w:r>
          </w:p>
        </w:tc>
        <w:tc>
          <w:tcPr>
            <w:tcW w:type="dxa" w:w="2606"/>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Select one tightly scoped pilot while closing critical gaps.</w:t>
            </w:r>
          </w:p>
        </w:tc>
      </w:tr>
      <w:tr>
        <w:tc>
          <w:tcPr>
            <w:tcW w:type="dxa" w:w="260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66-85</w:t>
            </w:r>
          </w:p>
        </w:tc>
        <w:tc>
          <w:tcPr>
            <w:tcW w:type="dxa" w:w="260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Deployment ready</w:t>
            </w:r>
          </w:p>
        </w:tc>
        <w:tc>
          <w:tcPr>
            <w:tcW w:type="dxa" w:w="260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The organisation can likely move into controlled pilots and early production use cases.</w:t>
            </w:r>
          </w:p>
        </w:tc>
        <w:tc>
          <w:tcPr>
            <w:tcW w:type="dxa" w:w="260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Launch a prioritised pilot portfolio with clear governance.</w:t>
            </w:r>
          </w:p>
        </w:tc>
      </w:tr>
      <w:tr>
        <w:tc>
          <w:tcPr>
            <w:tcW w:type="dxa" w:w="2606"/>
            <w:shd w:fill="FAF9F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86-96</w:t>
            </w:r>
          </w:p>
        </w:tc>
        <w:tc>
          <w:tcPr>
            <w:tcW w:type="dxa" w:w="2606"/>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Scaling ready</w:t>
            </w:r>
          </w:p>
        </w:tc>
        <w:tc>
          <w:tcPr>
            <w:tcW w:type="dxa" w:w="2606"/>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The organisation has the conditions to scale AI across multiple workflows.</w:t>
            </w:r>
          </w:p>
        </w:tc>
        <w:tc>
          <w:tcPr>
            <w:tcW w:type="dxa" w:w="2606"/>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Build a formal AI roadmap and benefits tracking cadence.</w:t>
            </w:r>
          </w:p>
        </w:tc>
      </w:tr>
    </w:tbl>
    <w:p>
      <w:pPr>
        <w:spacing w:after="80"/>
      </w:pPr>
    </w:p>
    <w:p>
      <w:pPr>
        <w:pStyle w:val="Heading2"/>
      </w:pPr>
      <w:r>
        <w:rPr>
          <w:b w:val="0"/>
        </w:rPr>
        <w:t>Readiness profile notes</w:t>
      </w:r>
    </w:p>
    <w:p>
      <w:pPr>
        <w:pStyle w:val="ListBullet"/>
        <w:spacing w:after="40"/>
        <w:ind w:left="283"/>
      </w:pPr>
      <w:r>
        <w:rPr>
          <w:rFonts w:ascii="Aptos" w:hAnsi="Aptos"/>
          <w:color w:val="101820"/>
          <w:sz w:val="18"/>
        </w:rPr>
        <w:t>If strategic alignment scores low, pause tool selection and clarify the business outcomes first.</w:t>
      </w:r>
    </w:p>
    <w:p>
      <w:pPr>
        <w:pStyle w:val="ListBullet"/>
        <w:spacing w:after="40"/>
        <w:ind w:left="283"/>
      </w:pPr>
      <w:r>
        <w:rPr>
          <w:rFonts w:ascii="Aptos" w:hAnsi="Aptos"/>
          <w:color w:val="101820"/>
          <w:sz w:val="18"/>
        </w:rPr>
        <w:t>If data readiness scores low, do not over-engineer the AI solution. Fix the minimum data foundations needed for the priority use case.</w:t>
      </w:r>
    </w:p>
    <w:p>
      <w:pPr>
        <w:pStyle w:val="ListBullet"/>
        <w:spacing w:after="40"/>
        <w:ind w:left="283"/>
      </w:pPr>
      <w:r>
        <w:rPr>
          <w:rFonts w:ascii="Aptos" w:hAnsi="Aptos"/>
          <w:color w:val="101820"/>
          <w:sz w:val="18"/>
        </w:rPr>
        <w:t>If adoption scores low, redesign the process before deployment. AI value is usually lost at the handoff between model output and human action.</w:t>
      </w:r>
    </w:p>
    <w:p>
      <w:pPr>
        <w:pStyle w:val="ListBullet"/>
        <w:spacing w:after="40"/>
        <w:ind w:left="283"/>
      </w:pPr>
      <w:r>
        <w:rPr>
          <w:rFonts w:ascii="Aptos" w:hAnsi="Aptos"/>
          <w:color w:val="101820"/>
          <w:sz w:val="18"/>
        </w:rPr>
        <w:t>If governance scores low, define controls early. Retrofitting risk management after a successful pilot can slow or stop scale-up.</w:t>
      </w:r>
    </w:p>
    <w:p>
      <w:pPr>
        <w:spacing w:before="160" w:after="80"/>
      </w:pPr>
      <w:r>
        <w:rPr>
          <w:rFonts w:ascii="Georgia" w:hAnsi="Georgia"/>
          <w:b/>
          <w:color w:val="0B1F3A"/>
          <w:sz w:val="36"/>
        </w:rPr>
        <w:t>07  30, 60 and 90-day action plan</w:t>
      </w:r>
    </w:p>
    <w:p>
      <w:pPr>
        <w:pStyle w:val="BodyText"/>
        <w:spacing w:after="160"/>
      </w:pPr>
      <w:r>
        <w:rPr>
          <w:b w:val="0"/>
        </w:rPr>
        <w:t>Translate the diagnostic into a practical sequence of decisions, pilots and capability-building actions.</w:t>
      </w:r>
    </w:p>
    <w:p>
      <w:pPr>
        <w:spacing w:before="80" w:after="160"/>
        <w:pBdr>
          <w:bottom w:val="single" w:sz="6" w:space="1" w:color="C6A96B"/>
        </w:pBdr>
      </w:pPr>
    </w:p>
    <w:tbl>
      <w:tblPr>
        <w:tblW w:type="auto" w:w="0"/>
        <w:jc w:val="center"/>
        <w:tblLook w:firstColumn="1" w:firstRow="1" w:lastColumn="0" w:lastRow="0" w:noHBand="0" w:noVBand="1" w:val="04A0"/>
      </w:tblPr>
      <w:tblGrid>
        <w:gridCol w:w="2606"/>
        <w:gridCol w:w="2606"/>
        <w:gridCol w:w="2606"/>
        <w:gridCol w:w="2606"/>
      </w:tblGrid>
      <w:tr>
        <w:trPr>
          <w:tblHeader w:val="true"/>
        </w:trPr>
        <w:tc>
          <w:tcPr>
            <w:tcW w:type="dxa" w:w="2606"/>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Timeframe</w:t>
            </w:r>
          </w:p>
        </w:tc>
        <w:tc>
          <w:tcPr>
            <w:tcW w:type="dxa" w:w="2606"/>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Leadership actions</w:t>
            </w:r>
          </w:p>
        </w:tc>
        <w:tc>
          <w:tcPr>
            <w:tcW w:type="dxa" w:w="2606"/>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Operational actions</w:t>
            </w:r>
          </w:p>
        </w:tc>
        <w:tc>
          <w:tcPr>
            <w:tcW w:type="dxa" w:w="2606"/>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Outputs</w:t>
            </w:r>
          </w:p>
        </w:tc>
      </w:tr>
      <w:tr>
        <w:tc>
          <w:tcPr>
            <w:tcW w:type="dxa" w:w="260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First 30 days</w:t>
            </w:r>
          </w:p>
        </w:tc>
        <w:tc>
          <w:tcPr>
            <w:tcW w:type="dxa" w:w="260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Agree AI ambition, appoint accountable sponsor, confirm decision criteria.</w:t>
            </w:r>
          </w:p>
        </w:tc>
        <w:tc>
          <w:tcPr>
            <w:tcW w:type="dxa" w:w="260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Complete diagnostic, map data sources, shortlist use cases, identify risks.</w:t>
            </w:r>
          </w:p>
        </w:tc>
        <w:tc>
          <w:tcPr>
            <w:tcW w:type="dxa" w:w="260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Readiness baseline and ranked pilot shortlist.</w:t>
            </w:r>
          </w:p>
        </w:tc>
      </w:tr>
      <w:tr>
        <w:tc>
          <w:tcPr>
            <w:tcW w:type="dxa" w:w="2606"/>
            <w:shd w:fill="FAF9F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Days 31-60</w:t>
            </w:r>
          </w:p>
        </w:tc>
        <w:tc>
          <w:tcPr>
            <w:tcW w:type="dxa" w:w="2606"/>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Approve pilot business case, define governance cadence, allocate resources.</w:t>
            </w:r>
          </w:p>
        </w:tc>
        <w:tc>
          <w:tcPr>
            <w:tcW w:type="dxa" w:w="2606"/>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Design pilot workflow, access data, configure tools, engage users, define metrics.</w:t>
            </w:r>
          </w:p>
        </w:tc>
        <w:tc>
          <w:tcPr>
            <w:tcW w:type="dxa" w:w="2606"/>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Pilot design, success metrics and controlled test environment.</w:t>
            </w:r>
          </w:p>
        </w:tc>
      </w:tr>
      <w:tr>
        <w:tc>
          <w:tcPr>
            <w:tcW w:type="dxa" w:w="260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Days 61-90</w:t>
            </w:r>
          </w:p>
        </w:tc>
        <w:tc>
          <w:tcPr>
            <w:tcW w:type="dxa" w:w="260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Review pilot evidence, decide scale, hold or stop, agree next investment.</w:t>
            </w:r>
          </w:p>
        </w:tc>
        <w:tc>
          <w:tcPr>
            <w:tcW w:type="dxa" w:w="260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Run pilot, capture performance, test controls, refine adoption plan.</w:t>
            </w:r>
          </w:p>
        </w:tc>
        <w:tc>
          <w:tcPr>
            <w:tcW w:type="dxa" w:w="260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Pilot results, lessons learned and scale roadmap.</w:t>
            </w:r>
          </w:p>
        </w:tc>
      </w:tr>
    </w:tbl>
    <w:p>
      <w:pPr>
        <w:spacing w:after="80"/>
      </w:pPr>
    </w:p>
    <w:p>
      <w:pPr>
        <w:spacing w:before="160" w:after="80"/>
      </w:pPr>
      <w:r>
        <w:rPr>
          <w:rFonts w:ascii="Georgia" w:hAnsi="Georgia"/>
          <w:b/>
          <w:color w:val="0B1F3A"/>
          <w:sz w:val="36"/>
        </w:rPr>
        <w:t>08  Workshop agenda</w:t>
      </w:r>
    </w:p>
    <w:p>
      <w:pPr>
        <w:pStyle w:val="BodyText"/>
        <w:spacing w:after="160"/>
      </w:pPr>
      <w:r>
        <w:rPr>
          <w:b w:val="0"/>
        </w:rPr>
        <w:t>A suggested half-day agenda for using this diagnostic with a leadership team.</w:t>
      </w:r>
    </w:p>
    <w:p>
      <w:pPr>
        <w:spacing w:before="80" w:after="160"/>
        <w:pBdr>
          <w:bottom w:val="single" w:sz="6" w:space="1" w:color="C6A96B"/>
        </w:pBdr>
      </w:pPr>
    </w:p>
    <w:tbl>
      <w:tblPr>
        <w:tblW w:type="auto" w:w="0"/>
        <w:jc w:val="center"/>
        <w:tblLook w:firstColumn="1" w:firstRow="1" w:lastColumn="0" w:lastRow="0" w:noHBand="0" w:noVBand="1" w:val="04A0"/>
      </w:tblPr>
      <w:tblGrid>
        <w:gridCol w:w="3475"/>
        <w:gridCol w:w="3475"/>
        <w:gridCol w:w="3475"/>
      </w:tblGrid>
      <w:tr>
        <w:trPr>
          <w:tblHeader w:val="true"/>
        </w:trPr>
        <w:tc>
          <w:tcPr>
            <w:tcW w:type="dxa" w:w="347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Time</w:t>
            </w:r>
          </w:p>
        </w:tc>
        <w:tc>
          <w:tcPr>
            <w:tcW w:type="dxa" w:w="347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Session</w:t>
            </w:r>
          </w:p>
        </w:tc>
        <w:tc>
          <w:tcPr>
            <w:tcW w:type="dxa" w:w="3475"/>
            <w:shd w:fill="0B1F3A"/>
            <w:tcBorders>
              <w:top w:sz="4" w:val="single" w:color="D8D2C4"/>
              <w:left w:sz="4" w:val="single" w:color="D8D2C4"/>
              <w:bottom w:sz="4" w:val="single" w:color="D8D2C4"/>
              <w:right w:sz="4" w:val="single" w:color="D8D2C4"/>
            </w:tcBorders>
          </w:tcPr>
          <w:p>
            <w:pPr>
              <w:spacing w:after="0"/>
            </w:pPr>
            <w:r/>
            <w:r>
              <w:rPr>
                <w:rFonts w:ascii="Aptos" w:hAnsi="Aptos"/>
                <w:b/>
                <w:color w:val="FFFFFF"/>
                <w:sz w:val="15"/>
              </w:rPr>
              <w:t>Purpose</w:t>
            </w:r>
          </w:p>
        </w:tc>
      </w:tr>
      <w:tr>
        <w:tc>
          <w:tcPr>
            <w:tcW w:type="dxa" w:w="3475"/>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00:00-00:20</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Context and ambition</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Agree why AI matters now and what business outcomes matter most.</w:t>
            </w:r>
          </w:p>
        </w:tc>
      </w:tr>
      <w:tr>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00:20-01:05</w:t>
            </w:r>
          </w:p>
        </w:tc>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Readiness scoring</w:t>
            </w:r>
          </w:p>
        </w:tc>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Score the six dimensions and identify evidence gaps.</w:t>
            </w:r>
          </w:p>
        </w:tc>
      </w:tr>
      <w:tr>
        <w:tc>
          <w:tcPr>
            <w:tcW w:type="dxa" w:w="3475"/>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01:05-01:45</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Use-case generation</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Identify candidate use cases from priority processes and pain points.</w:t>
            </w:r>
          </w:p>
        </w:tc>
      </w:tr>
      <w:tr>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01:45-02:15</w:t>
            </w:r>
          </w:p>
        </w:tc>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Prioritisation</w:t>
            </w:r>
          </w:p>
        </w:tc>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Rank use cases by value, feasibility, data readiness, adoption complexity and risk.</w:t>
            </w:r>
          </w:p>
        </w:tc>
      </w:tr>
      <w:tr>
        <w:tc>
          <w:tcPr>
            <w:tcW w:type="dxa" w:w="3475"/>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02:15-02:45</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Roadmap decisions</w:t>
            </w:r>
          </w:p>
        </w:tc>
        <w:tc>
          <w:tcPr>
            <w:tcW w:type="dxa" w:w="3475"/>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Agree immediate actions, owners, pilot scope and governance cadence.</w:t>
            </w:r>
          </w:p>
        </w:tc>
      </w:tr>
      <w:tr>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color w:val="0B1F3A"/>
                <w:sz w:val="14"/>
              </w:rPr>
              <w:t>02:45-03:00</w:t>
            </w:r>
          </w:p>
        </w:tc>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Close</w:t>
            </w:r>
          </w:p>
        </w:tc>
        <w:tc>
          <w:tcPr>
            <w:tcW w:type="dxa" w:w="3475"/>
            <w:shd w:fill="FAF9F6"/>
            <w:tcBorders>
              <w:top w:sz="4" w:val="single" w:color="D8D2C4"/>
              <w:left w:sz="4" w:val="single" w:color="D8D2C4"/>
              <w:bottom w:sz="4" w:val="single" w:color="D8D2C4"/>
              <w:right w:sz="4" w:val="single" w:color="D8D2C4"/>
            </w:tcBorders>
          </w:tcPr>
          <w:p>
            <w:pPr>
              <w:spacing w:after="0"/>
            </w:pPr>
            <w:r/>
            <w:r>
              <w:rPr>
                <w:rFonts w:ascii="Aptos" w:hAnsi="Aptos"/>
                <w:b w:val="0"/>
                <w:color w:val="101820"/>
                <w:sz w:val="14"/>
              </w:rPr>
              <w:t>Confirm next steps, timeline and decision points.</w:t>
            </w:r>
          </w:p>
        </w:tc>
      </w:tr>
    </w:tbl>
    <w:p>
      <w:pPr>
        <w:spacing w:after="80"/>
      </w:pPr>
    </w:p>
    <w:p>
      <w:pPr>
        <w:spacing w:before="160" w:after="80"/>
      </w:pPr>
      <w:r>
        <w:rPr>
          <w:rFonts w:ascii="Georgia" w:hAnsi="Georgia"/>
          <w:b/>
          <w:color w:val="0B1F3A"/>
          <w:sz w:val="36"/>
        </w:rPr>
        <w:t>09  Leadership questions to resolve</w:t>
      </w:r>
    </w:p>
    <w:p>
      <w:pPr>
        <w:pStyle w:val="BodyText"/>
        <w:spacing w:after="160"/>
      </w:pPr>
      <w:r>
        <w:rPr>
          <w:b w:val="0"/>
        </w:rPr>
        <w:t>Use these questions to move from assessment into decision-making.</w:t>
      </w:r>
    </w:p>
    <w:p>
      <w:pPr>
        <w:spacing w:before="80" w:after="160"/>
        <w:pBdr>
          <w:bottom w:val="single" w:sz="6" w:space="1" w:color="C6A96B"/>
        </w:pBdr>
      </w:pPr>
    </w:p>
    <w:p>
      <w:pPr>
        <w:pStyle w:val="ListBullet"/>
        <w:spacing w:after="40"/>
        <w:ind w:left="283"/>
      </w:pPr>
      <w:r>
        <w:rPr>
          <w:rFonts w:ascii="Aptos" w:hAnsi="Aptos"/>
          <w:color w:val="101820"/>
          <w:sz w:val="18"/>
        </w:rPr>
        <w:t>Which business priorities should AI support over the next 12 months?</w:t>
      </w:r>
    </w:p>
    <w:p>
      <w:pPr>
        <w:pStyle w:val="ListBullet"/>
        <w:spacing w:after="40"/>
        <w:ind w:left="283"/>
      </w:pPr>
      <w:r>
        <w:rPr>
          <w:rFonts w:ascii="Aptos" w:hAnsi="Aptos"/>
          <w:color w:val="101820"/>
          <w:sz w:val="18"/>
        </w:rPr>
        <w:t>Which workflows have enough volume, repetition, cost, delay or decision complexity to justify intervention?</w:t>
      </w:r>
    </w:p>
    <w:p>
      <w:pPr>
        <w:pStyle w:val="ListBullet"/>
        <w:spacing w:after="40"/>
        <w:ind w:left="283"/>
      </w:pPr>
      <w:r>
        <w:rPr>
          <w:rFonts w:ascii="Aptos" w:hAnsi="Aptos"/>
          <w:color w:val="101820"/>
          <w:sz w:val="18"/>
        </w:rPr>
        <w:t>Where would better prediction, summarisation, automation or decision support create measurable impact?</w:t>
      </w:r>
    </w:p>
    <w:p>
      <w:pPr>
        <w:pStyle w:val="ListBullet"/>
        <w:spacing w:after="40"/>
        <w:ind w:left="283"/>
      </w:pPr>
      <w:r>
        <w:rPr>
          <w:rFonts w:ascii="Aptos" w:hAnsi="Aptos"/>
          <w:color w:val="101820"/>
          <w:sz w:val="18"/>
        </w:rPr>
        <w:t>What data is essential for the first wave of use cases, and who owns it?</w:t>
      </w:r>
    </w:p>
    <w:p>
      <w:pPr>
        <w:pStyle w:val="ListBullet"/>
        <w:spacing w:after="40"/>
        <w:ind w:left="283"/>
      </w:pPr>
      <w:r>
        <w:rPr>
          <w:rFonts w:ascii="Aptos" w:hAnsi="Aptos"/>
          <w:color w:val="101820"/>
          <w:sz w:val="18"/>
        </w:rPr>
        <w:t>Which use cases require human approval, audit trails or enhanced controls?</w:t>
      </w:r>
    </w:p>
    <w:p>
      <w:pPr>
        <w:pStyle w:val="ListBullet"/>
        <w:spacing w:after="40"/>
        <w:ind w:left="283"/>
      </w:pPr>
      <w:r>
        <w:rPr>
          <w:rFonts w:ascii="Aptos" w:hAnsi="Aptos"/>
          <w:color w:val="101820"/>
          <w:sz w:val="18"/>
        </w:rPr>
        <w:t>What would make the first pilot commercially successful, operationally credible and safe to scale?</w:t>
      </w:r>
    </w:p>
    <w:p>
      <w:pPr>
        <w:pStyle w:val="ListBullet"/>
        <w:spacing w:after="40"/>
        <w:ind w:left="283"/>
      </w:pPr>
      <w:r>
        <w:rPr>
          <w:rFonts w:ascii="Aptos" w:hAnsi="Aptos"/>
          <w:color w:val="101820"/>
          <w:sz w:val="18"/>
        </w:rPr>
        <w:t>Who owns benefits realisation once the pilot moves beyond experimentation?</w:t>
      </w:r>
    </w:p>
    <w:tbl>
      <w:tblPr>
        <w:tblW w:type="auto" w:w="0"/>
        <w:jc w:val="center"/>
        <w:tblLook w:firstColumn="1" w:firstRow="1" w:lastColumn="0" w:lastRow="0" w:noHBand="0" w:noVBand="1" w:val="04A0"/>
      </w:tblPr>
      <w:tblGrid>
        <w:gridCol w:w="10426"/>
      </w:tblGrid>
      <w:tr>
        <w:tc>
          <w:tcPr>
            <w:tcW w:type="dxa" w:w="10426"/>
            <w:shd w:fill="F6F3EC"/>
            <w:tcBorders>
              <w:top w:sz="8" w:val="single" w:color="C6A96B"/>
              <w:left w:sz="4" w:val="single" w:color="D8D2C4"/>
              <w:bottom w:sz="4" w:val="single" w:color="D8D2C4"/>
              <w:right w:sz="4" w:val="single" w:color="D8D2C4"/>
            </w:tcBorders>
          </w:tcPr>
          <w:p>
            <w:pPr>
              <w:spacing w:after="80"/>
            </w:pPr>
            <w:r>
              <w:rPr>
                <w:rFonts w:ascii="Aptos" w:hAnsi="Aptos"/>
                <w:b/>
                <w:color w:val="8E7847"/>
                <w:sz w:val="16"/>
              </w:rPr>
              <w:t>FINAL TEST</w:t>
            </w:r>
          </w:p>
          <w:p>
            <w:pPr>
              <w:spacing w:after="0"/>
            </w:pPr>
            <w:r>
              <w:rPr>
                <w:rFonts w:ascii="Georgia" w:hAnsi="Georgia"/>
                <w:b/>
                <w:color w:val="0B1F3A"/>
                <w:sz w:val="22"/>
              </w:rPr>
              <w:t>The organisation is ready to proceed when it can name the business problem, the accountable owner, the required data, the expected impact, the risk controls and the decision that the pilot is designed to prove.</w:t>
            </w:r>
          </w:p>
        </w:tc>
      </w:tr>
    </w:tbl>
    <w:p>
      <w:pPr>
        <w:spacing w:after="40"/>
      </w:pPr>
    </w:p>
    <w:p>
      <w:pPr>
        <w:spacing w:before="160" w:after="80"/>
      </w:pPr>
      <w:r>
        <w:rPr>
          <w:rFonts w:ascii="Georgia" w:hAnsi="Georgia"/>
          <w:b/>
          <w:color w:val="0B1F3A"/>
          <w:sz w:val="36"/>
        </w:rPr>
        <w:t>10  About Allington Advisors</w:t>
      </w:r>
    </w:p>
    <w:p>
      <w:pPr>
        <w:spacing w:before="80" w:after="160"/>
        <w:pBdr>
          <w:bottom w:val="single" w:sz="6" w:space="1" w:color="C6A96B"/>
        </w:pBdr>
      </w:pPr>
    </w:p>
    <w:p>
      <w:pPr>
        <w:pStyle w:val="BodyText"/>
      </w:pPr>
      <w:r>
        <w:rPr>
          <w:b w:val="0"/>
        </w:rPr>
        <w:t>Allington Advisors supports leadership teams facing complex strategic, operational and transformation challenges. We help organisations move from ambiguity to clear decisions, practical execution plans and measurable outcomes.</w:t>
      </w:r>
    </w:p>
    <w:p>
      <w:pPr>
        <w:pStyle w:val="BodyText"/>
      </w:pPr>
      <w:r>
        <w:rPr>
          <w:b w:val="0"/>
        </w:rPr>
        <w:t>This document is intended as a practical leadership resource. It is not a substitute for legal, regulatory, cyber-security or data protection advice where specialist input is required.</w:t>
      </w:r>
    </w:p>
    <w:p>
      <w:pPr>
        <w:spacing w:before="80" w:after="160"/>
        <w:pBdr>
          <w:bottom w:val="single" w:sz="6" w:space="1" w:color="C6A96B"/>
        </w:pBdr>
      </w:pPr>
    </w:p>
    <w:p>
      <w:pPr>
        <w:jc w:val="center"/>
      </w:pPr>
      <w:r>
        <w:drawing>
          <wp:inline xmlns:a="http://schemas.openxmlformats.org/drawingml/2006/main" xmlns:pic="http://schemas.openxmlformats.org/drawingml/2006/picture">
            <wp:extent cx="2011680" cy="596171"/>
            <wp:docPr id="2" name="Picture 2"/>
            <wp:cNvGraphicFramePr>
              <a:graphicFrameLocks noChangeAspect="1"/>
            </wp:cNvGraphicFramePr>
            <a:graphic>
              <a:graphicData uri="http://schemas.openxmlformats.org/drawingml/2006/picture">
                <pic:pic>
                  <pic:nvPicPr>
                    <pic:cNvPr id="0" name="AllingtonAdvisors_Logo_NoBackground.png"/>
                    <pic:cNvPicPr/>
                  </pic:nvPicPr>
                  <pic:blipFill>
                    <a:blip r:embed="rId12"/>
                    <a:stretch>
                      <a:fillRect/>
                    </a:stretch>
                  </pic:blipFill>
                  <pic:spPr>
                    <a:xfrm>
                      <a:off x="0" y="0"/>
                      <a:ext cx="2011680" cy="596171"/>
                    </a:xfrm>
                    <a:prstGeom prst="rect"/>
                  </pic:spPr>
                </pic:pic>
              </a:graphicData>
            </a:graphic>
          </wp:inline>
        </w:drawing>
      </w:r>
    </w:p>
    <w:p>
      <w:pPr>
        <w:jc w:val="center"/>
      </w:pPr>
      <w:r>
        <w:rPr>
          <w:rFonts w:ascii="Aptos" w:hAnsi="Aptos"/>
          <w:b/>
          <w:color w:val="0B1F3A"/>
          <w:sz w:val="18"/>
        </w:rPr>
        <w:t>www.allingtonadvisors.com</w:t>
      </w:r>
    </w:p>
    <w:sectPr w:rsidR="00FC693F" w:rsidRPr="0006063C" w:rsidSect="00034616">
      <w:headerReference w:type="default" r:id="rId9"/>
      <w:footerReference w:type="default" r:id="rId10"/>
      <w:pgSz w:w="12240" w:h="15840"/>
      <w:pgMar w:top="765" w:right="907" w:bottom="765" w:left="907" w:header="312"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C6670"/>
        <w:sz w:val="14"/>
      </w:rPr>
      <w:t xml:space="preserve">Allington Advisors  |  AI Readiness Diagnostic  |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325880" cy="392931"/>
          <wp:docPr id="1" name="Picture 1"/>
          <wp:cNvGraphicFramePr>
            <a:graphicFrameLocks noChangeAspect="1"/>
          </wp:cNvGraphicFramePr>
          <a:graphic>
            <a:graphicData uri="http://schemas.openxmlformats.org/drawingml/2006/picture">
              <pic:pic>
                <pic:nvPicPr>
                  <pic:cNvPr id="0" name="AllingtonAdvisors_Logo_NoBackground.png"/>
                  <pic:cNvPicPr/>
                </pic:nvPicPr>
                <pic:blipFill>
                  <a:blip r:embed="rId1"/>
                  <a:stretch>
                    <a:fillRect/>
                  </a:stretch>
                </pic:blipFill>
                <pic:spPr>
                  <a:xfrm>
                    <a:off x="0" y="0"/>
                    <a:ext cx="1325880" cy="392931"/>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0182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Georgia" w:hAnsi="Georgia"/>
      <w:b/>
      <w:bCs/>
      <w:color w:val="0B1F3A"/>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0B1F3A"/>
      <w:sz w:val="22"/>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ptos" w:hAnsi="Aptos"/>
      <w:b/>
      <w:bCs/>
      <w:color w:val="0B1F3A"/>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B1F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69" w:lineRule="auto"/>
    </w:pPr>
    <w:rPr>
      <w:rFonts w:ascii="Aptos" w:hAnsi="Aptos"/>
      <w:sz w:val="18"/>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